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DC9" w:rsidRPr="00EA4648" w:rsidRDefault="00772DC9" w:rsidP="00BE7CD6">
      <w:pPr>
        <w:spacing w:line="480" w:lineRule="auto"/>
        <w:jc w:val="center"/>
        <w:rPr>
          <w:rFonts w:ascii="Times New Roman" w:hAnsi="Times New Roman" w:cs="Times New Roman"/>
          <w:sz w:val="24"/>
          <w:szCs w:val="24"/>
        </w:rPr>
      </w:pPr>
    </w:p>
    <w:p w:rsidR="00B419F4" w:rsidRPr="00EA4648" w:rsidRDefault="00567F3B" w:rsidP="00BE7CD6">
      <w:pPr>
        <w:spacing w:line="480" w:lineRule="auto"/>
        <w:jc w:val="center"/>
        <w:rPr>
          <w:rFonts w:ascii="Times New Roman" w:hAnsi="Times New Roman" w:cs="Times New Roman"/>
          <w:sz w:val="24"/>
          <w:szCs w:val="24"/>
        </w:rPr>
      </w:pPr>
      <w:r w:rsidRPr="00EA4648">
        <w:rPr>
          <w:rFonts w:ascii="Times New Roman" w:hAnsi="Times New Roman" w:cs="Times New Roman"/>
          <w:sz w:val="24"/>
          <w:szCs w:val="24"/>
        </w:rPr>
        <w:t>How to Manage Foreign Exchange Risk Exposure</w:t>
      </w:r>
    </w:p>
    <w:p w:rsidR="00772DC9" w:rsidRPr="00EA4648" w:rsidRDefault="00772DC9" w:rsidP="00BE7CD6">
      <w:pPr>
        <w:spacing w:line="480" w:lineRule="auto"/>
        <w:jc w:val="center"/>
        <w:rPr>
          <w:rFonts w:ascii="Times New Roman" w:hAnsi="Times New Roman" w:cs="Times New Roman"/>
          <w:sz w:val="24"/>
          <w:szCs w:val="24"/>
        </w:rPr>
      </w:pPr>
    </w:p>
    <w:p w:rsidR="00772DC9" w:rsidRPr="00EA4648" w:rsidRDefault="00772DC9" w:rsidP="00BE7CD6">
      <w:pPr>
        <w:spacing w:line="480" w:lineRule="auto"/>
        <w:jc w:val="center"/>
        <w:rPr>
          <w:rFonts w:ascii="Times New Roman" w:hAnsi="Times New Roman" w:cs="Times New Roman"/>
          <w:sz w:val="24"/>
          <w:szCs w:val="24"/>
        </w:rPr>
      </w:pPr>
      <w:r w:rsidRPr="00EA4648">
        <w:rPr>
          <w:rFonts w:ascii="Times New Roman" w:hAnsi="Times New Roman" w:cs="Times New Roman"/>
          <w:sz w:val="24"/>
          <w:szCs w:val="24"/>
        </w:rPr>
        <w:t>Name</w:t>
      </w:r>
    </w:p>
    <w:p w:rsidR="00772DC9" w:rsidRPr="00EA4648" w:rsidRDefault="00772DC9" w:rsidP="00BE7CD6">
      <w:pPr>
        <w:spacing w:line="480" w:lineRule="auto"/>
        <w:jc w:val="center"/>
        <w:rPr>
          <w:rFonts w:ascii="Times New Roman" w:hAnsi="Times New Roman" w:cs="Times New Roman"/>
          <w:sz w:val="24"/>
          <w:szCs w:val="24"/>
        </w:rPr>
      </w:pPr>
      <w:r w:rsidRPr="00EA4648">
        <w:rPr>
          <w:rFonts w:ascii="Times New Roman" w:hAnsi="Times New Roman" w:cs="Times New Roman"/>
          <w:sz w:val="24"/>
          <w:szCs w:val="24"/>
        </w:rPr>
        <w:t>Institution</w:t>
      </w:r>
    </w:p>
    <w:p w:rsidR="00772DC9" w:rsidRPr="00EA4648" w:rsidRDefault="00772DC9" w:rsidP="00BE7CD6">
      <w:pPr>
        <w:spacing w:line="480" w:lineRule="auto"/>
        <w:jc w:val="center"/>
        <w:rPr>
          <w:rFonts w:ascii="Times New Roman" w:hAnsi="Times New Roman" w:cs="Times New Roman"/>
          <w:sz w:val="24"/>
          <w:szCs w:val="24"/>
        </w:rPr>
      </w:pPr>
      <w:r w:rsidRPr="00EA4648">
        <w:rPr>
          <w:rFonts w:ascii="Times New Roman" w:hAnsi="Times New Roman" w:cs="Times New Roman"/>
          <w:sz w:val="24"/>
          <w:szCs w:val="24"/>
        </w:rPr>
        <w:t>Date</w:t>
      </w:r>
    </w:p>
    <w:p w:rsidR="00772DC9" w:rsidRPr="00EA4648" w:rsidRDefault="00772DC9" w:rsidP="00BE7CD6">
      <w:pPr>
        <w:spacing w:line="480" w:lineRule="auto"/>
        <w:jc w:val="center"/>
        <w:rPr>
          <w:rFonts w:ascii="Times New Roman" w:hAnsi="Times New Roman" w:cs="Times New Roman"/>
          <w:sz w:val="24"/>
          <w:szCs w:val="24"/>
        </w:rPr>
      </w:pPr>
    </w:p>
    <w:p w:rsidR="00772DC9" w:rsidRPr="00EA4648" w:rsidRDefault="00772DC9" w:rsidP="00BE7CD6">
      <w:pPr>
        <w:spacing w:line="480" w:lineRule="auto"/>
        <w:jc w:val="center"/>
        <w:rPr>
          <w:rFonts w:ascii="Times New Roman" w:hAnsi="Times New Roman" w:cs="Times New Roman"/>
          <w:sz w:val="24"/>
          <w:szCs w:val="24"/>
        </w:rPr>
      </w:pPr>
    </w:p>
    <w:p w:rsidR="00772DC9" w:rsidRPr="00EA4648" w:rsidRDefault="00772DC9" w:rsidP="00BE7CD6">
      <w:pPr>
        <w:spacing w:line="480" w:lineRule="auto"/>
        <w:jc w:val="center"/>
        <w:rPr>
          <w:rFonts w:ascii="Times New Roman" w:hAnsi="Times New Roman" w:cs="Times New Roman"/>
          <w:sz w:val="24"/>
          <w:szCs w:val="24"/>
        </w:rPr>
      </w:pPr>
    </w:p>
    <w:p w:rsidR="00772DC9" w:rsidRPr="00EA4648" w:rsidRDefault="00772DC9" w:rsidP="00BE7CD6">
      <w:pPr>
        <w:spacing w:line="480" w:lineRule="auto"/>
        <w:jc w:val="center"/>
        <w:rPr>
          <w:rFonts w:ascii="Times New Roman" w:hAnsi="Times New Roman" w:cs="Times New Roman"/>
          <w:sz w:val="24"/>
          <w:szCs w:val="24"/>
        </w:rPr>
      </w:pPr>
    </w:p>
    <w:p w:rsidR="00772DC9" w:rsidRPr="00EA4648" w:rsidRDefault="00772DC9" w:rsidP="00BE7CD6">
      <w:pPr>
        <w:spacing w:line="480" w:lineRule="auto"/>
        <w:jc w:val="center"/>
        <w:rPr>
          <w:rFonts w:ascii="Times New Roman" w:hAnsi="Times New Roman" w:cs="Times New Roman"/>
          <w:sz w:val="24"/>
          <w:szCs w:val="24"/>
        </w:rPr>
      </w:pPr>
    </w:p>
    <w:p w:rsidR="00772DC9" w:rsidRPr="00EA4648" w:rsidRDefault="00772DC9" w:rsidP="00BE7CD6">
      <w:pPr>
        <w:spacing w:line="480" w:lineRule="auto"/>
        <w:jc w:val="center"/>
        <w:rPr>
          <w:rFonts w:ascii="Times New Roman" w:hAnsi="Times New Roman" w:cs="Times New Roman"/>
          <w:sz w:val="24"/>
          <w:szCs w:val="24"/>
        </w:rPr>
      </w:pPr>
    </w:p>
    <w:p w:rsidR="00772DC9" w:rsidRPr="00EA4648" w:rsidRDefault="00772DC9" w:rsidP="00BE7CD6">
      <w:pPr>
        <w:spacing w:line="480" w:lineRule="auto"/>
        <w:jc w:val="center"/>
        <w:rPr>
          <w:rFonts w:ascii="Times New Roman" w:hAnsi="Times New Roman" w:cs="Times New Roman"/>
          <w:sz w:val="24"/>
          <w:szCs w:val="24"/>
        </w:rPr>
      </w:pPr>
    </w:p>
    <w:p w:rsidR="00772DC9" w:rsidRPr="00EA4648" w:rsidRDefault="00772DC9" w:rsidP="00BE7CD6">
      <w:pPr>
        <w:spacing w:line="480" w:lineRule="auto"/>
        <w:jc w:val="center"/>
        <w:rPr>
          <w:rFonts w:ascii="Times New Roman" w:hAnsi="Times New Roman" w:cs="Times New Roman"/>
          <w:sz w:val="24"/>
          <w:szCs w:val="24"/>
        </w:rPr>
      </w:pPr>
    </w:p>
    <w:p w:rsidR="00772DC9" w:rsidRPr="00EA4648" w:rsidRDefault="00772DC9" w:rsidP="00BE7CD6">
      <w:pPr>
        <w:spacing w:line="480" w:lineRule="auto"/>
        <w:jc w:val="center"/>
        <w:rPr>
          <w:rFonts w:ascii="Times New Roman" w:hAnsi="Times New Roman" w:cs="Times New Roman"/>
          <w:sz w:val="24"/>
          <w:szCs w:val="24"/>
        </w:rPr>
      </w:pPr>
    </w:p>
    <w:p w:rsidR="00772DC9" w:rsidRPr="00EA4648" w:rsidRDefault="00772DC9" w:rsidP="00BE7CD6">
      <w:pPr>
        <w:spacing w:line="480" w:lineRule="auto"/>
        <w:jc w:val="center"/>
        <w:rPr>
          <w:rFonts w:ascii="Times New Roman" w:hAnsi="Times New Roman" w:cs="Times New Roman"/>
          <w:sz w:val="24"/>
          <w:szCs w:val="24"/>
        </w:rPr>
      </w:pPr>
    </w:p>
    <w:p w:rsidR="00772DC9" w:rsidRDefault="00772DC9" w:rsidP="00BE7CD6">
      <w:pPr>
        <w:spacing w:line="480" w:lineRule="auto"/>
        <w:jc w:val="center"/>
        <w:rPr>
          <w:rFonts w:ascii="Times New Roman" w:hAnsi="Times New Roman" w:cs="Times New Roman"/>
          <w:sz w:val="24"/>
          <w:szCs w:val="24"/>
        </w:rPr>
      </w:pPr>
    </w:p>
    <w:p w:rsidR="004E71D0" w:rsidRPr="00EA4648" w:rsidRDefault="004E71D0" w:rsidP="00BE7CD6">
      <w:pPr>
        <w:spacing w:line="480" w:lineRule="auto"/>
        <w:jc w:val="center"/>
        <w:rPr>
          <w:rFonts w:ascii="Times New Roman" w:hAnsi="Times New Roman" w:cs="Times New Roman"/>
          <w:sz w:val="24"/>
          <w:szCs w:val="24"/>
        </w:rPr>
      </w:pPr>
    </w:p>
    <w:p w:rsidR="00772DC9" w:rsidRPr="00EA4648" w:rsidRDefault="00772DC9" w:rsidP="00BE7CD6">
      <w:pPr>
        <w:spacing w:line="480" w:lineRule="auto"/>
        <w:jc w:val="center"/>
        <w:rPr>
          <w:rFonts w:ascii="Times New Roman" w:hAnsi="Times New Roman" w:cs="Times New Roman"/>
          <w:sz w:val="24"/>
          <w:szCs w:val="24"/>
        </w:rPr>
      </w:pPr>
      <w:r w:rsidRPr="00EA4648">
        <w:rPr>
          <w:rFonts w:ascii="Times New Roman" w:hAnsi="Times New Roman" w:cs="Times New Roman"/>
          <w:sz w:val="24"/>
          <w:szCs w:val="24"/>
        </w:rPr>
        <w:lastRenderedPageBreak/>
        <w:t>How to Manage Foreign Exchange Risk Exposure</w:t>
      </w:r>
    </w:p>
    <w:p w:rsidR="00772DC9" w:rsidRPr="00EA4648" w:rsidRDefault="00772DC9" w:rsidP="00BE7CD6">
      <w:pPr>
        <w:spacing w:line="480" w:lineRule="auto"/>
        <w:ind w:firstLine="720"/>
        <w:rPr>
          <w:rFonts w:ascii="Times New Roman" w:hAnsi="Times New Roman" w:cs="Times New Roman"/>
          <w:sz w:val="24"/>
          <w:szCs w:val="24"/>
        </w:rPr>
      </w:pPr>
      <w:r w:rsidRPr="00EA4648">
        <w:rPr>
          <w:rFonts w:ascii="Times New Roman" w:hAnsi="Times New Roman" w:cs="Times New Roman"/>
          <w:sz w:val="24"/>
          <w:szCs w:val="24"/>
        </w:rPr>
        <w:t>Foreign exchange is the building block for every stable national economy. Foreign exchange creates a reputable chance for countries and multinational business to interact more accurately and with ease (Hadjigeorgiou, 2019). In the contemporary era, vast growth in technology and the increase in globalization have suitably heightened the phase of currency volatility. Through globalization, the exchange rates have posed a promising influence on multinational corporations concerning ease of operation and profitability. Foreign exchange risks such as FOREX volatility not only influence multinational a well as more prominent companies, but it also alters the operability of small and medium-sized enterprises (Hadjigeorgiou, 2019). For that reason, thorough understanding as well as managing exchange rate risk is a subject of great importance to governments, investors, business owners, and other concerned stakeholders because of the laudable impacts it can pose to their holdings. In this concern, this paper is focused on offering a thorough description on how to accurately manage foreign exchange risk exposure by examining the main risks that must be managed</w:t>
      </w:r>
      <w:r w:rsidR="00DE7FD7">
        <w:rPr>
          <w:rFonts w:ascii="Times New Roman" w:hAnsi="Times New Roman" w:cs="Times New Roman"/>
          <w:sz w:val="24"/>
          <w:szCs w:val="24"/>
        </w:rPr>
        <w:t xml:space="preserve"> for multinational corporations.</w:t>
      </w:r>
    </w:p>
    <w:p w:rsidR="00772DC9" w:rsidRPr="00EA4648" w:rsidRDefault="00772DC9" w:rsidP="00BE7CD6">
      <w:pPr>
        <w:spacing w:line="480" w:lineRule="auto"/>
        <w:jc w:val="center"/>
        <w:rPr>
          <w:rFonts w:ascii="Times New Roman" w:hAnsi="Times New Roman" w:cs="Times New Roman"/>
          <w:b/>
          <w:sz w:val="24"/>
          <w:szCs w:val="24"/>
        </w:rPr>
      </w:pPr>
      <w:r w:rsidRPr="00EA4648">
        <w:rPr>
          <w:rFonts w:ascii="Times New Roman" w:hAnsi="Times New Roman" w:cs="Times New Roman"/>
          <w:b/>
          <w:sz w:val="24"/>
          <w:szCs w:val="24"/>
        </w:rPr>
        <w:t>Types of Foreign Exchange Risks</w:t>
      </w:r>
    </w:p>
    <w:p w:rsidR="00772DC9" w:rsidRPr="00EA4648" w:rsidRDefault="00772DC9" w:rsidP="00BE7CD6">
      <w:pPr>
        <w:spacing w:line="480" w:lineRule="auto"/>
        <w:ind w:firstLine="720"/>
        <w:rPr>
          <w:rFonts w:ascii="Times New Roman" w:hAnsi="Times New Roman" w:cs="Times New Roman"/>
          <w:sz w:val="24"/>
          <w:szCs w:val="24"/>
        </w:rPr>
      </w:pPr>
      <w:r w:rsidRPr="00EA4648">
        <w:rPr>
          <w:rFonts w:ascii="Times New Roman" w:hAnsi="Times New Roman" w:cs="Times New Roman"/>
          <w:sz w:val="24"/>
          <w:szCs w:val="24"/>
        </w:rPr>
        <w:t>Multinational Corporations are highly exposed to varied categories of foreign exchange risks</w:t>
      </w:r>
      <w:r w:rsidRPr="00EA4648">
        <w:rPr>
          <w:rFonts w:ascii="Times New Roman" w:hAnsi="Times New Roman" w:cs="Times New Roman"/>
          <w:sz w:val="24"/>
          <w:szCs w:val="24"/>
        </w:rPr>
        <w:t>,</w:t>
      </w:r>
      <w:r w:rsidRPr="00EA4648">
        <w:rPr>
          <w:rFonts w:ascii="Times New Roman" w:hAnsi="Times New Roman" w:cs="Times New Roman"/>
          <w:sz w:val="24"/>
          <w:szCs w:val="24"/>
        </w:rPr>
        <w:t xml:space="preserve"> all which are geared towards violating as well as destabilizing the operability of the entire company. </w:t>
      </w:r>
      <w:r w:rsidRPr="00EA4648">
        <w:rPr>
          <w:rFonts w:ascii="Times New Roman" w:hAnsi="Times New Roman" w:cs="Times New Roman"/>
          <w:sz w:val="24"/>
          <w:szCs w:val="24"/>
        </w:rPr>
        <w:t>Transaction</w:t>
      </w:r>
      <w:r w:rsidRPr="00EA4648">
        <w:rPr>
          <w:rFonts w:ascii="Times New Roman" w:hAnsi="Times New Roman" w:cs="Times New Roman"/>
          <w:sz w:val="24"/>
          <w:szCs w:val="24"/>
        </w:rPr>
        <w:t xml:space="preserve"> exposure</w:t>
      </w:r>
      <w:r w:rsidRPr="00EA4648">
        <w:rPr>
          <w:rFonts w:ascii="Times New Roman" w:hAnsi="Times New Roman" w:cs="Times New Roman"/>
          <w:sz w:val="24"/>
          <w:szCs w:val="24"/>
        </w:rPr>
        <w:t xml:space="preserve"> is o</w:t>
      </w:r>
      <w:r w:rsidRPr="00EA4648">
        <w:rPr>
          <w:rFonts w:ascii="Times New Roman" w:hAnsi="Times New Roman" w:cs="Times New Roman"/>
          <w:sz w:val="24"/>
          <w:szCs w:val="24"/>
        </w:rPr>
        <w:t>ne of the le</w:t>
      </w:r>
      <w:r w:rsidRPr="00EA4648">
        <w:rPr>
          <w:rFonts w:ascii="Times New Roman" w:hAnsi="Times New Roman" w:cs="Times New Roman"/>
          <w:sz w:val="24"/>
          <w:szCs w:val="24"/>
        </w:rPr>
        <w:t>ading currency volatility risks</w:t>
      </w:r>
      <w:r w:rsidRPr="00EA4648">
        <w:rPr>
          <w:rFonts w:ascii="Times New Roman" w:hAnsi="Times New Roman" w:cs="Times New Roman"/>
          <w:sz w:val="24"/>
          <w:szCs w:val="24"/>
        </w:rPr>
        <w:t>. According to economists, a transaction exposure stands a bigger chance to challenge the wellness of corporation in all specks (Lama &amp; Medina, 2020). Transaction exposures occur as a result of ch</w:t>
      </w:r>
      <w:r w:rsidRPr="00EA4648">
        <w:rPr>
          <w:rFonts w:ascii="Times New Roman" w:hAnsi="Times New Roman" w:cs="Times New Roman"/>
          <w:sz w:val="24"/>
          <w:szCs w:val="24"/>
        </w:rPr>
        <w:t xml:space="preserve">anges in exchange rate amid </w:t>
      </w:r>
      <w:r w:rsidRPr="00EA4648">
        <w:rPr>
          <w:rFonts w:ascii="Times New Roman" w:hAnsi="Times New Roman" w:cs="Times New Roman"/>
          <w:sz w:val="24"/>
          <w:szCs w:val="24"/>
        </w:rPr>
        <w:t xml:space="preserve">which the contract is contacted in foreign currency and the time at which settlement is made. This type of foreign exchange is short term in nature, and it takes not more than a year. The common types of transition exposure </w:t>
      </w:r>
      <w:r w:rsidR="00DE7FD7">
        <w:rPr>
          <w:rFonts w:ascii="Times New Roman" w:hAnsi="Times New Roman" w:cs="Times New Roman"/>
          <w:sz w:val="24"/>
          <w:szCs w:val="24"/>
        </w:rPr>
        <w:t xml:space="preserve">include borrowing, lending, </w:t>
      </w:r>
      <w:r w:rsidRPr="00EA4648">
        <w:rPr>
          <w:rFonts w:ascii="Times New Roman" w:hAnsi="Times New Roman" w:cs="Times New Roman"/>
          <w:sz w:val="24"/>
          <w:szCs w:val="24"/>
        </w:rPr>
        <w:t xml:space="preserve">and </w:t>
      </w:r>
      <w:r w:rsidRPr="00EA4648">
        <w:rPr>
          <w:rFonts w:ascii="Times New Roman" w:hAnsi="Times New Roman" w:cs="Times New Roman"/>
          <w:sz w:val="24"/>
          <w:szCs w:val="24"/>
        </w:rPr>
        <w:lastRenderedPageBreak/>
        <w:t xml:space="preserve">sales denominated in foreign currencies. Transaction exposure entails issues such as </w:t>
      </w:r>
      <w:r w:rsidR="00DD4DE8" w:rsidRPr="00EA4648">
        <w:rPr>
          <w:rFonts w:ascii="Times New Roman" w:hAnsi="Times New Roman" w:cs="Times New Roman"/>
          <w:sz w:val="24"/>
          <w:szCs w:val="24"/>
        </w:rPr>
        <w:t xml:space="preserve">forex </w:t>
      </w:r>
      <w:r w:rsidRPr="00EA4648">
        <w:rPr>
          <w:rFonts w:ascii="Times New Roman" w:hAnsi="Times New Roman" w:cs="Times New Roman"/>
          <w:sz w:val="24"/>
          <w:szCs w:val="24"/>
        </w:rPr>
        <w:t xml:space="preserve">risks which occur as a result of </w:t>
      </w:r>
      <w:r w:rsidR="00DE7FD7" w:rsidRPr="00EA4648">
        <w:rPr>
          <w:rFonts w:ascii="Times New Roman" w:hAnsi="Times New Roman" w:cs="Times New Roman"/>
          <w:sz w:val="24"/>
          <w:szCs w:val="24"/>
        </w:rPr>
        <w:t>variations</w:t>
      </w:r>
      <w:r w:rsidRPr="00EA4648">
        <w:rPr>
          <w:rFonts w:ascii="Times New Roman" w:hAnsi="Times New Roman" w:cs="Times New Roman"/>
          <w:sz w:val="24"/>
          <w:szCs w:val="24"/>
        </w:rPr>
        <w:t xml:space="preserve"> when there is a mismatch </w:t>
      </w:r>
      <w:r w:rsidR="00DD4DE8" w:rsidRPr="00EA4648">
        <w:rPr>
          <w:rFonts w:ascii="Times New Roman" w:hAnsi="Times New Roman" w:cs="Times New Roman"/>
          <w:sz w:val="24"/>
          <w:szCs w:val="24"/>
        </w:rPr>
        <w:t xml:space="preserve">between </w:t>
      </w:r>
      <w:r w:rsidRPr="00EA4648">
        <w:rPr>
          <w:rFonts w:ascii="Times New Roman" w:hAnsi="Times New Roman" w:cs="Times New Roman"/>
          <w:sz w:val="24"/>
          <w:szCs w:val="24"/>
        </w:rPr>
        <w:t xml:space="preserve">maturity period </w:t>
      </w:r>
      <w:r w:rsidR="00DD4DE8" w:rsidRPr="00EA4648">
        <w:rPr>
          <w:rFonts w:ascii="Times New Roman" w:hAnsi="Times New Roman" w:cs="Times New Roman"/>
          <w:sz w:val="24"/>
          <w:szCs w:val="24"/>
        </w:rPr>
        <w:t>and</w:t>
      </w:r>
      <w:r w:rsidRPr="00EA4648">
        <w:rPr>
          <w:rFonts w:ascii="Times New Roman" w:hAnsi="Times New Roman" w:cs="Times New Roman"/>
          <w:sz w:val="24"/>
          <w:szCs w:val="24"/>
        </w:rPr>
        <w:t xml:space="preserve"> borrowing amount. Credit risk is another transaction threat t</w:t>
      </w:r>
      <w:r w:rsidR="00DD4DE8" w:rsidRPr="00EA4648">
        <w:rPr>
          <w:rFonts w:ascii="Times New Roman" w:hAnsi="Times New Roman" w:cs="Times New Roman"/>
          <w:sz w:val="24"/>
          <w:szCs w:val="24"/>
        </w:rPr>
        <w:t>o multinational corporations which</w:t>
      </w:r>
      <w:r w:rsidRPr="00EA4648">
        <w:rPr>
          <w:rFonts w:ascii="Times New Roman" w:hAnsi="Times New Roman" w:cs="Times New Roman"/>
          <w:sz w:val="24"/>
          <w:szCs w:val="24"/>
        </w:rPr>
        <w:t xml:space="preserve"> occurs when the borrower is unable to meet the payment (Lama &amp; Medina, 2020). Liquidity risk i</w:t>
      </w:r>
      <w:r w:rsidR="00DD4DE8" w:rsidRPr="00EA4648">
        <w:rPr>
          <w:rFonts w:ascii="Times New Roman" w:hAnsi="Times New Roman" w:cs="Times New Roman"/>
          <w:sz w:val="24"/>
          <w:szCs w:val="24"/>
        </w:rPr>
        <w:t>s another transaction exposure. It</w:t>
      </w:r>
      <w:r w:rsidRPr="00EA4648">
        <w:rPr>
          <w:rFonts w:ascii="Times New Roman" w:hAnsi="Times New Roman" w:cs="Times New Roman"/>
          <w:sz w:val="24"/>
          <w:szCs w:val="24"/>
        </w:rPr>
        <w:t xml:space="preserve"> </w:t>
      </w:r>
      <w:r w:rsidR="00DD4DE8" w:rsidRPr="00EA4648">
        <w:rPr>
          <w:rFonts w:ascii="Times New Roman" w:hAnsi="Times New Roman" w:cs="Times New Roman"/>
          <w:sz w:val="24"/>
          <w:szCs w:val="24"/>
        </w:rPr>
        <w:t xml:space="preserve">occurs as a </w:t>
      </w:r>
      <w:r w:rsidRPr="00EA4648">
        <w:rPr>
          <w:rFonts w:ascii="Times New Roman" w:hAnsi="Times New Roman" w:cs="Times New Roman"/>
          <w:sz w:val="24"/>
          <w:szCs w:val="24"/>
        </w:rPr>
        <w:t xml:space="preserve">possibility of the FOREX gains or losses when a settlement takes place in the future date of foreign currency based on </w:t>
      </w:r>
      <w:r w:rsidR="00DD4DE8" w:rsidRPr="00EA4648">
        <w:rPr>
          <w:rFonts w:ascii="Times New Roman" w:hAnsi="Times New Roman" w:cs="Times New Roman"/>
          <w:sz w:val="24"/>
          <w:szCs w:val="24"/>
        </w:rPr>
        <w:t>agreement</w:t>
      </w:r>
      <w:r w:rsidRPr="00EA4648">
        <w:rPr>
          <w:rFonts w:ascii="Times New Roman" w:hAnsi="Times New Roman" w:cs="Times New Roman"/>
          <w:sz w:val="24"/>
          <w:szCs w:val="24"/>
        </w:rPr>
        <w:t xml:space="preserve">. </w:t>
      </w:r>
    </w:p>
    <w:p w:rsidR="00772DC9" w:rsidRPr="00EA4648" w:rsidRDefault="00C51E07" w:rsidP="00BE7CD6">
      <w:pPr>
        <w:spacing w:line="480" w:lineRule="auto"/>
        <w:ind w:firstLine="720"/>
        <w:rPr>
          <w:rFonts w:ascii="Times New Roman" w:hAnsi="Times New Roman" w:cs="Times New Roman"/>
          <w:sz w:val="24"/>
          <w:szCs w:val="24"/>
        </w:rPr>
      </w:pPr>
      <w:r w:rsidRPr="00EA4648">
        <w:rPr>
          <w:rFonts w:ascii="Times New Roman" w:hAnsi="Times New Roman" w:cs="Times New Roman"/>
          <w:sz w:val="24"/>
          <w:szCs w:val="24"/>
        </w:rPr>
        <w:t>O</w:t>
      </w:r>
      <w:r w:rsidR="00772DC9" w:rsidRPr="00EA4648">
        <w:rPr>
          <w:rFonts w:ascii="Times New Roman" w:hAnsi="Times New Roman" w:cs="Times New Roman"/>
          <w:sz w:val="24"/>
          <w:szCs w:val="24"/>
        </w:rPr>
        <w:t xml:space="preserve">perating exposure </w:t>
      </w:r>
      <w:r w:rsidRPr="00EA4648">
        <w:rPr>
          <w:rFonts w:ascii="Times New Roman" w:hAnsi="Times New Roman" w:cs="Times New Roman"/>
          <w:sz w:val="24"/>
          <w:szCs w:val="24"/>
        </w:rPr>
        <w:t>is a</w:t>
      </w:r>
      <w:r w:rsidRPr="00EA4648">
        <w:rPr>
          <w:rFonts w:ascii="Times New Roman" w:hAnsi="Times New Roman" w:cs="Times New Roman"/>
          <w:sz w:val="24"/>
          <w:szCs w:val="24"/>
        </w:rPr>
        <w:t xml:space="preserve">nother foreign exchange exposure </w:t>
      </w:r>
      <w:r w:rsidRPr="00EA4648">
        <w:rPr>
          <w:rFonts w:ascii="Times New Roman" w:hAnsi="Times New Roman" w:cs="Times New Roman"/>
          <w:sz w:val="24"/>
          <w:szCs w:val="24"/>
        </w:rPr>
        <w:t xml:space="preserve">which </w:t>
      </w:r>
      <w:r w:rsidR="00772DC9" w:rsidRPr="00EA4648">
        <w:rPr>
          <w:rFonts w:ascii="Times New Roman" w:hAnsi="Times New Roman" w:cs="Times New Roman"/>
          <w:sz w:val="24"/>
          <w:szCs w:val="24"/>
        </w:rPr>
        <w:t>occurs in the measuremen</w:t>
      </w:r>
      <w:r w:rsidR="00084412" w:rsidRPr="00EA4648">
        <w:rPr>
          <w:rFonts w:ascii="Times New Roman" w:hAnsi="Times New Roman" w:cs="Times New Roman"/>
          <w:sz w:val="24"/>
          <w:szCs w:val="24"/>
        </w:rPr>
        <w:t>t of the extent to which the fir</w:t>
      </w:r>
      <w:r w:rsidR="00772DC9" w:rsidRPr="00EA4648">
        <w:rPr>
          <w:rFonts w:ascii="Times New Roman" w:hAnsi="Times New Roman" w:cs="Times New Roman"/>
          <w:sz w:val="24"/>
          <w:szCs w:val="24"/>
        </w:rPr>
        <w:t>m’s operating cash flows are affected by the exchange rate</w:t>
      </w:r>
      <w:r w:rsidR="000833FB">
        <w:rPr>
          <w:rFonts w:ascii="Times New Roman" w:hAnsi="Times New Roman" w:cs="Times New Roman"/>
          <w:sz w:val="24"/>
          <w:szCs w:val="24"/>
        </w:rPr>
        <w:t xml:space="preserve"> </w:t>
      </w:r>
      <w:r w:rsidR="000833FB" w:rsidRPr="00EA4648">
        <w:rPr>
          <w:rFonts w:ascii="Times New Roman" w:hAnsi="Times New Roman" w:cs="Times New Roman"/>
          <w:sz w:val="24"/>
          <w:szCs w:val="24"/>
        </w:rPr>
        <w:t>(Lama &amp; Medina, 2020)</w:t>
      </w:r>
      <w:r w:rsidR="00772DC9" w:rsidRPr="00EA4648">
        <w:rPr>
          <w:rFonts w:ascii="Times New Roman" w:hAnsi="Times New Roman" w:cs="Times New Roman"/>
          <w:sz w:val="24"/>
          <w:szCs w:val="24"/>
        </w:rPr>
        <w:t xml:space="preserve">. From another point of view, the operating exposure refers to the extent in which the FOREX rate fluctuates, altering the </w:t>
      </w:r>
      <w:r w:rsidR="000833FB" w:rsidRPr="00EA4648">
        <w:rPr>
          <w:rFonts w:ascii="Times New Roman" w:hAnsi="Times New Roman" w:cs="Times New Roman"/>
          <w:sz w:val="24"/>
          <w:szCs w:val="24"/>
        </w:rPr>
        <w:t>corporation’s</w:t>
      </w:r>
      <w:r w:rsidR="00772DC9" w:rsidRPr="00EA4648">
        <w:rPr>
          <w:rFonts w:ascii="Times New Roman" w:hAnsi="Times New Roman" w:cs="Times New Roman"/>
          <w:sz w:val="24"/>
          <w:szCs w:val="24"/>
        </w:rPr>
        <w:t xml:space="preserve"> </w:t>
      </w:r>
      <w:r w:rsidR="000833FB" w:rsidRPr="00EA4648">
        <w:rPr>
          <w:rFonts w:ascii="Times New Roman" w:hAnsi="Times New Roman" w:cs="Times New Roman"/>
          <w:sz w:val="24"/>
          <w:szCs w:val="24"/>
        </w:rPr>
        <w:t>forthcoming</w:t>
      </w:r>
      <w:r w:rsidR="00772DC9" w:rsidRPr="00EA4648">
        <w:rPr>
          <w:rFonts w:ascii="Times New Roman" w:hAnsi="Times New Roman" w:cs="Times New Roman"/>
          <w:sz w:val="24"/>
          <w:szCs w:val="24"/>
        </w:rPr>
        <w:t xml:space="preserve"> operating cash flows (Lama &amp; Medina, 2020). The attached impacts of operating exposure can pose substantial effects to the company’s competitive position even if it does not operate overseas. </w:t>
      </w:r>
    </w:p>
    <w:p w:rsidR="00772DC9" w:rsidRPr="00EA4648" w:rsidRDefault="00772DC9" w:rsidP="00BE7CD6">
      <w:pPr>
        <w:spacing w:line="480" w:lineRule="auto"/>
        <w:ind w:firstLine="720"/>
        <w:rPr>
          <w:rFonts w:ascii="Times New Roman" w:hAnsi="Times New Roman" w:cs="Times New Roman"/>
          <w:sz w:val="24"/>
          <w:szCs w:val="24"/>
        </w:rPr>
      </w:pPr>
      <w:r w:rsidRPr="00EA4648">
        <w:rPr>
          <w:rFonts w:ascii="Times New Roman" w:hAnsi="Times New Roman" w:cs="Times New Roman"/>
          <w:sz w:val="24"/>
          <w:szCs w:val="24"/>
        </w:rPr>
        <w:t xml:space="preserve">Translation exposure is another foreign exposure risk that arises whenever companies try to </w:t>
      </w:r>
      <w:r w:rsidR="000833FB" w:rsidRPr="00EA4648">
        <w:rPr>
          <w:rFonts w:ascii="Times New Roman" w:hAnsi="Times New Roman" w:cs="Times New Roman"/>
          <w:sz w:val="24"/>
          <w:szCs w:val="24"/>
        </w:rPr>
        <w:t>amalgamate</w:t>
      </w:r>
      <w:r w:rsidRPr="00EA4648">
        <w:rPr>
          <w:rFonts w:ascii="Times New Roman" w:hAnsi="Times New Roman" w:cs="Times New Roman"/>
          <w:sz w:val="24"/>
          <w:szCs w:val="24"/>
        </w:rPr>
        <w:t xml:space="preserve"> subsidiaries in their </w:t>
      </w:r>
      <w:r w:rsidR="000833FB">
        <w:rPr>
          <w:rFonts w:ascii="Times New Roman" w:hAnsi="Times New Roman" w:cs="Times New Roman"/>
          <w:sz w:val="24"/>
          <w:szCs w:val="24"/>
        </w:rPr>
        <w:t>records</w:t>
      </w:r>
      <w:r w:rsidRPr="00EA4648">
        <w:rPr>
          <w:rFonts w:ascii="Times New Roman" w:hAnsi="Times New Roman" w:cs="Times New Roman"/>
          <w:sz w:val="24"/>
          <w:szCs w:val="24"/>
        </w:rPr>
        <w:t xml:space="preserve">. </w:t>
      </w:r>
      <w:r w:rsidR="000833FB">
        <w:rPr>
          <w:rFonts w:ascii="Times New Roman" w:hAnsi="Times New Roman" w:cs="Times New Roman"/>
          <w:sz w:val="24"/>
          <w:szCs w:val="24"/>
        </w:rPr>
        <w:t>T</w:t>
      </w:r>
      <w:r w:rsidRPr="00EA4648">
        <w:rPr>
          <w:rFonts w:ascii="Times New Roman" w:hAnsi="Times New Roman" w:cs="Times New Roman"/>
          <w:sz w:val="24"/>
          <w:szCs w:val="24"/>
        </w:rPr>
        <w:t xml:space="preserve">ranslation exposure measures the impact of exchanges in the foreign currency exchange rate </w:t>
      </w:r>
      <w:r w:rsidR="000833FB">
        <w:rPr>
          <w:rFonts w:ascii="Times New Roman" w:hAnsi="Times New Roman" w:cs="Times New Roman"/>
          <w:sz w:val="24"/>
          <w:szCs w:val="24"/>
        </w:rPr>
        <w:t xml:space="preserve">concerning value of </w:t>
      </w:r>
      <w:r w:rsidRPr="00EA4648">
        <w:rPr>
          <w:rFonts w:ascii="Times New Roman" w:hAnsi="Times New Roman" w:cs="Times New Roman"/>
          <w:sz w:val="24"/>
          <w:szCs w:val="24"/>
        </w:rPr>
        <w:t>assets and liabilities. There is an implication that the</w:t>
      </w:r>
      <w:r w:rsidR="000833FB">
        <w:rPr>
          <w:rFonts w:ascii="Times New Roman" w:hAnsi="Times New Roman" w:cs="Times New Roman"/>
          <w:sz w:val="24"/>
          <w:szCs w:val="24"/>
        </w:rPr>
        <w:t xml:space="preserve"> value of </w:t>
      </w:r>
      <w:r w:rsidR="00BE7CD6">
        <w:rPr>
          <w:rFonts w:ascii="Times New Roman" w:hAnsi="Times New Roman" w:cs="Times New Roman"/>
          <w:sz w:val="24"/>
          <w:szCs w:val="24"/>
        </w:rPr>
        <w:t xml:space="preserve">the </w:t>
      </w:r>
      <w:r w:rsidR="00BE7CD6" w:rsidRPr="00EA4648">
        <w:rPr>
          <w:rFonts w:ascii="Times New Roman" w:hAnsi="Times New Roman" w:cs="Times New Roman"/>
          <w:sz w:val="24"/>
          <w:szCs w:val="24"/>
        </w:rPr>
        <w:t>pre</w:t>
      </w:r>
      <w:r w:rsidRPr="00EA4648">
        <w:rPr>
          <w:rFonts w:ascii="Times New Roman" w:hAnsi="Times New Roman" w:cs="Times New Roman"/>
          <w:sz w:val="24"/>
          <w:szCs w:val="24"/>
        </w:rPr>
        <w:t xml:space="preserve">-existing </w:t>
      </w:r>
      <w:r w:rsidR="00BE7CD6" w:rsidRPr="00EA4648">
        <w:rPr>
          <w:rFonts w:ascii="Times New Roman" w:hAnsi="Times New Roman" w:cs="Times New Roman"/>
          <w:sz w:val="24"/>
          <w:szCs w:val="24"/>
        </w:rPr>
        <w:t xml:space="preserve">assets </w:t>
      </w:r>
      <w:r w:rsidR="00BE7CD6">
        <w:rPr>
          <w:rFonts w:ascii="Times New Roman" w:hAnsi="Times New Roman" w:cs="Times New Roman"/>
          <w:sz w:val="24"/>
          <w:szCs w:val="24"/>
        </w:rPr>
        <w:t>and</w:t>
      </w:r>
      <w:r w:rsidR="000833FB">
        <w:rPr>
          <w:rFonts w:ascii="Times New Roman" w:hAnsi="Times New Roman" w:cs="Times New Roman"/>
          <w:sz w:val="24"/>
          <w:szCs w:val="24"/>
        </w:rPr>
        <w:t xml:space="preserve"> </w:t>
      </w:r>
      <w:r w:rsidRPr="00EA4648">
        <w:rPr>
          <w:rFonts w:ascii="Times New Roman" w:hAnsi="Times New Roman" w:cs="Times New Roman"/>
          <w:sz w:val="24"/>
          <w:szCs w:val="24"/>
        </w:rPr>
        <w:t xml:space="preserve">liabilities </w:t>
      </w:r>
      <w:r w:rsidR="000833FB">
        <w:rPr>
          <w:rFonts w:ascii="Times New Roman" w:hAnsi="Times New Roman" w:cs="Times New Roman"/>
          <w:sz w:val="24"/>
          <w:szCs w:val="24"/>
        </w:rPr>
        <w:t>changes with</w:t>
      </w:r>
      <w:r w:rsidRPr="00EA4648">
        <w:rPr>
          <w:rFonts w:ascii="Times New Roman" w:hAnsi="Times New Roman" w:cs="Times New Roman"/>
          <w:sz w:val="24"/>
          <w:szCs w:val="24"/>
        </w:rPr>
        <w:t xml:space="preserve"> change in the foreign exchange rate (Lama &amp; Medina, 2020). In most cases, when a company’s foreign exchange balances are expressed in terms of the domestic currency, translation exposure occurs. </w:t>
      </w:r>
      <w:r w:rsidR="000833FB">
        <w:rPr>
          <w:rFonts w:ascii="Times New Roman" w:hAnsi="Times New Roman" w:cs="Times New Roman"/>
          <w:sz w:val="24"/>
          <w:szCs w:val="24"/>
        </w:rPr>
        <w:t>T</w:t>
      </w:r>
      <w:r w:rsidRPr="00EA4648">
        <w:rPr>
          <w:rFonts w:ascii="Times New Roman" w:hAnsi="Times New Roman" w:cs="Times New Roman"/>
          <w:sz w:val="24"/>
          <w:szCs w:val="24"/>
        </w:rPr>
        <w:t xml:space="preserve">ranslation exposure </w:t>
      </w:r>
      <w:r w:rsidR="000833FB">
        <w:rPr>
          <w:rFonts w:ascii="Times New Roman" w:hAnsi="Times New Roman" w:cs="Times New Roman"/>
          <w:sz w:val="24"/>
          <w:szCs w:val="24"/>
        </w:rPr>
        <w:t xml:space="preserve">takes place as a </w:t>
      </w:r>
      <w:r w:rsidRPr="00EA4648">
        <w:rPr>
          <w:rFonts w:ascii="Times New Roman" w:hAnsi="Times New Roman" w:cs="Times New Roman"/>
          <w:sz w:val="24"/>
          <w:szCs w:val="24"/>
        </w:rPr>
        <w:t xml:space="preserve">result of </w:t>
      </w:r>
      <w:r w:rsidR="003978C1" w:rsidRPr="00EA4648">
        <w:rPr>
          <w:rFonts w:ascii="Times New Roman" w:hAnsi="Times New Roman" w:cs="Times New Roman"/>
          <w:sz w:val="24"/>
          <w:szCs w:val="24"/>
        </w:rPr>
        <w:t>variation</w:t>
      </w:r>
      <w:r w:rsidR="003978C1">
        <w:rPr>
          <w:rFonts w:ascii="Times New Roman" w:hAnsi="Times New Roman" w:cs="Times New Roman"/>
          <w:sz w:val="24"/>
          <w:szCs w:val="24"/>
        </w:rPr>
        <w:t>s</w:t>
      </w:r>
      <w:r w:rsidRPr="00EA4648">
        <w:rPr>
          <w:rFonts w:ascii="Times New Roman" w:hAnsi="Times New Roman" w:cs="Times New Roman"/>
          <w:sz w:val="24"/>
          <w:szCs w:val="24"/>
        </w:rPr>
        <w:t xml:space="preserve"> in the </w:t>
      </w:r>
      <w:r w:rsidR="003978C1">
        <w:rPr>
          <w:rFonts w:ascii="Times New Roman" w:hAnsi="Times New Roman" w:cs="Times New Roman"/>
          <w:sz w:val="24"/>
          <w:szCs w:val="24"/>
        </w:rPr>
        <w:t xml:space="preserve">forex </w:t>
      </w:r>
      <w:r w:rsidRPr="00EA4648">
        <w:rPr>
          <w:rFonts w:ascii="Times New Roman" w:hAnsi="Times New Roman" w:cs="Times New Roman"/>
          <w:sz w:val="24"/>
          <w:szCs w:val="24"/>
        </w:rPr>
        <w:t xml:space="preserve">rate, </w:t>
      </w:r>
      <w:r w:rsidR="003978C1">
        <w:rPr>
          <w:rFonts w:ascii="Times New Roman" w:hAnsi="Times New Roman" w:cs="Times New Roman"/>
          <w:sz w:val="24"/>
          <w:szCs w:val="24"/>
        </w:rPr>
        <w:t>and it</w:t>
      </w:r>
      <w:r w:rsidRPr="00EA4648">
        <w:rPr>
          <w:rFonts w:ascii="Times New Roman" w:hAnsi="Times New Roman" w:cs="Times New Roman"/>
          <w:sz w:val="24"/>
          <w:szCs w:val="24"/>
        </w:rPr>
        <w:t xml:space="preserve"> affects the values of assets, liabilities, </w:t>
      </w:r>
      <w:r w:rsidR="003978C1">
        <w:rPr>
          <w:rFonts w:ascii="Times New Roman" w:hAnsi="Times New Roman" w:cs="Times New Roman"/>
          <w:sz w:val="24"/>
          <w:szCs w:val="24"/>
        </w:rPr>
        <w:t xml:space="preserve">and </w:t>
      </w:r>
      <w:r w:rsidRPr="00EA4648">
        <w:rPr>
          <w:rFonts w:ascii="Times New Roman" w:hAnsi="Times New Roman" w:cs="Times New Roman"/>
          <w:sz w:val="24"/>
          <w:szCs w:val="24"/>
        </w:rPr>
        <w:t xml:space="preserve">expenses, and returns of the foreign subsidiaries. </w:t>
      </w:r>
    </w:p>
    <w:p w:rsidR="001B365C" w:rsidRDefault="001B365C" w:rsidP="00BE7CD6">
      <w:pPr>
        <w:spacing w:line="480" w:lineRule="auto"/>
        <w:jc w:val="center"/>
        <w:rPr>
          <w:rFonts w:ascii="Times New Roman" w:hAnsi="Times New Roman" w:cs="Times New Roman"/>
          <w:b/>
          <w:sz w:val="24"/>
          <w:szCs w:val="24"/>
        </w:rPr>
      </w:pPr>
    </w:p>
    <w:p w:rsidR="001B365C" w:rsidRDefault="001B365C" w:rsidP="00BE7CD6">
      <w:pPr>
        <w:spacing w:line="480" w:lineRule="auto"/>
        <w:jc w:val="center"/>
        <w:rPr>
          <w:rFonts w:ascii="Times New Roman" w:hAnsi="Times New Roman" w:cs="Times New Roman"/>
          <w:b/>
          <w:sz w:val="24"/>
          <w:szCs w:val="24"/>
        </w:rPr>
      </w:pPr>
    </w:p>
    <w:p w:rsidR="00772DC9" w:rsidRPr="00EA4648" w:rsidRDefault="00772DC9" w:rsidP="00BE7CD6">
      <w:pPr>
        <w:spacing w:line="480" w:lineRule="auto"/>
        <w:jc w:val="center"/>
        <w:rPr>
          <w:rFonts w:ascii="Times New Roman" w:hAnsi="Times New Roman" w:cs="Times New Roman"/>
          <w:b/>
          <w:sz w:val="24"/>
          <w:szCs w:val="24"/>
        </w:rPr>
      </w:pPr>
      <w:r w:rsidRPr="00EA4648">
        <w:rPr>
          <w:rFonts w:ascii="Times New Roman" w:hAnsi="Times New Roman" w:cs="Times New Roman"/>
          <w:b/>
          <w:sz w:val="24"/>
          <w:szCs w:val="24"/>
        </w:rPr>
        <w:lastRenderedPageBreak/>
        <w:t>Managing Foreign Exchange Risk Exposure</w:t>
      </w:r>
    </w:p>
    <w:p w:rsidR="00772DC9" w:rsidRPr="00EA4648" w:rsidRDefault="00772DC9" w:rsidP="00BE7CD6">
      <w:pPr>
        <w:spacing w:line="480" w:lineRule="auto"/>
        <w:ind w:firstLine="720"/>
        <w:rPr>
          <w:rFonts w:ascii="Times New Roman" w:hAnsi="Times New Roman" w:cs="Times New Roman"/>
          <w:sz w:val="24"/>
          <w:szCs w:val="24"/>
        </w:rPr>
      </w:pPr>
      <w:r w:rsidRPr="00EA4648">
        <w:rPr>
          <w:rFonts w:ascii="Times New Roman" w:hAnsi="Times New Roman" w:cs="Times New Roman"/>
          <w:sz w:val="24"/>
          <w:szCs w:val="24"/>
        </w:rPr>
        <w:t>Foreign exchange risk needs to be complemented with well-thought management practices to restore the wellness and profitability of corporations for both transaction and operation exposures. Notably, there are different strategies for managing foreign exchange risk exposure. The primary rationale for managing transactional exposure is to accurately safeguard transactions from exchange rate risks (Lama &amp; Medina, 2020). The most appropriate techniques for that can be applied to hedge the transaction exposures include forward contracts. This strategy operates when the way has to receive some fixed amount of foreign currency in the forthcoming days. Herein, the manager is required to obtain a contract that indicates a price by which it can buy foreign currency in the future date. Forward contracts aids in shunning uncertainties of the future of domestic currency value of the liability into a certain value. Currency options help to manage transactional exposures by considering foreign currency as a contract that has an upfront fee, and it guarantees the owner the autonomy, but not the mandate, to trade currencies in a specified quantity, price, as well as time. Another strategy for managing foreign exchange risk exposures is by the use of a futures contract. In this case, futures contracts are presented with standardized as well as limited sizes, initial collateral, maturity dates among other core features and hence making it difficult to offset the position and expose the entire corporation. The currency swap is another effective exposure control initiative which invol</w:t>
      </w:r>
      <w:r w:rsidR="005A170A">
        <w:rPr>
          <w:rFonts w:ascii="Times New Roman" w:hAnsi="Times New Roman" w:cs="Times New Roman"/>
          <w:sz w:val="24"/>
          <w:szCs w:val="24"/>
        </w:rPr>
        <w:t xml:space="preserve">ved corporations take a broad </w:t>
      </w:r>
      <w:r w:rsidRPr="00EA4648">
        <w:rPr>
          <w:rFonts w:ascii="Times New Roman" w:hAnsi="Times New Roman" w:cs="Times New Roman"/>
          <w:sz w:val="24"/>
          <w:szCs w:val="24"/>
        </w:rPr>
        <w:t xml:space="preserve">use of currency swaps to attain </w:t>
      </w:r>
      <w:r w:rsidR="005A170A">
        <w:rPr>
          <w:rFonts w:ascii="Times New Roman" w:hAnsi="Times New Roman" w:cs="Times New Roman"/>
          <w:sz w:val="24"/>
          <w:szCs w:val="24"/>
        </w:rPr>
        <w:t>an affordable loan rates from the domestic currency as opposed to</w:t>
      </w:r>
      <w:r w:rsidRPr="00EA4648">
        <w:rPr>
          <w:rFonts w:ascii="Times New Roman" w:hAnsi="Times New Roman" w:cs="Times New Roman"/>
          <w:sz w:val="24"/>
          <w:szCs w:val="24"/>
        </w:rPr>
        <w:t xml:space="preserve"> borrowed </w:t>
      </w:r>
      <w:r w:rsidR="005A170A" w:rsidRPr="00EA4648">
        <w:rPr>
          <w:rFonts w:ascii="Times New Roman" w:hAnsi="Times New Roman" w:cs="Times New Roman"/>
          <w:sz w:val="24"/>
          <w:szCs w:val="24"/>
        </w:rPr>
        <w:t>currency</w:t>
      </w:r>
      <w:r w:rsidRPr="00EA4648">
        <w:rPr>
          <w:rFonts w:ascii="Times New Roman" w:hAnsi="Times New Roman" w:cs="Times New Roman"/>
          <w:sz w:val="24"/>
          <w:szCs w:val="24"/>
        </w:rPr>
        <w:t>. The affiliated interest rate variations for currency swaps entail a higher fixed rate to fixed-rate, floating-rate to a floating rate, fixed rate to floating rate</w:t>
      </w:r>
      <w:r w:rsidR="00BE7CD6">
        <w:rPr>
          <w:rFonts w:ascii="Times New Roman" w:hAnsi="Times New Roman" w:cs="Times New Roman"/>
          <w:sz w:val="24"/>
          <w:szCs w:val="24"/>
        </w:rPr>
        <w:t xml:space="preserve"> </w:t>
      </w:r>
      <w:r w:rsidR="00BE7CD6" w:rsidRPr="00EA4648">
        <w:rPr>
          <w:rFonts w:ascii="Times New Roman" w:hAnsi="Times New Roman" w:cs="Times New Roman"/>
          <w:sz w:val="24"/>
          <w:szCs w:val="24"/>
        </w:rPr>
        <w:t>(Lama &amp; Medina, 2020)</w:t>
      </w:r>
      <w:r w:rsidRPr="00EA4648">
        <w:rPr>
          <w:rFonts w:ascii="Times New Roman" w:hAnsi="Times New Roman" w:cs="Times New Roman"/>
          <w:sz w:val="24"/>
          <w:szCs w:val="24"/>
        </w:rPr>
        <w:t xml:space="preserve">. In this type of foreign exchange control, the involved </w:t>
      </w:r>
      <w:r w:rsidRPr="00EA4648">
        <w:rPr>
          <w:rFonts w:ascii="Times New Roman" w:hAnsi="Times New Roman" w:cs="Times New Roman"/>
          <w:sz w:val="24"/>
          <w:szCs w:val="24"/>
        </w:rPr>
        <w:lastRenderedPageBreak/>
        <w:t xml:space="preserve">companies are allowed to borrow in the markets and currencies where each can get the best rates, and then swap the affiliated proceeds. </w:t>
      </w:r>
    </w:p>
    <w:p w:rsidR="00772DC9" w:rsidRPr="00EA4648" w:rsidRDefault="008E2D45" w:rsidP="00BE7CD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Comparison between Derivative </w:t>
      </w:r>
      <w:r w:rsidR="004E71D0">
        <w:rPr>
          <w:rFonts w:ascii="Times New Roman" w:hAnsi="Times New Roman" w:cs="Times New Roman"/>
          <w:b/>
          <w:sz w:val="24"/>
          <w:szCs w:val="24"/>
        </w:rPr>
        <w:t>Measures</w:t>
      </w:r>
      <w:r>
        <w:rPr>
          <w:rFonts w:ascii="Times New Roman" w:hAnsi="Times New Roman" w:cs="Times New Roman"/>
          <w:b/>
          <w:sz w:val="24"/>
          <w:szCs w:val="24"/>
        </w:rPr>
        <w:t xml:space="preserve"> of Managing Foreign Exchange Risks</w:t>
      </w:r>
    </w:p>
    <w:p w:rsidR="00772DC9" w:rsidRPr="00EA4648" w:rsidRDefault="00772DC9" w:rsidP="00BE7CD6">
      <w:pPr>
        <w:spacing w:line="480" w:lineRule="auto"/>
        <w:ind w:firstLine="720"/>
        <w:rPr>
          <w:rFonts w:ascii="Times New Roman" w:hAnsi="Times New Roman" w:cs="Times New Roman"/>
          <w:sz w:val="24"/>
          <w:szCs w:val="24"/>
        </w:rPr>
      </w:pPr>
      <w:r w:rsidRPr="00EA4648">
        <w:rPr>
          <w:rFonts w:ascii="Times New Roman" w:hAnsi="Times New Roman" w:cs="Times New Roman"/>
          <w:sz w:val="24"/>
          <w:szCs w:val="24"/>
        </w:rPr>
        <w:t xml:space="preserve">Applying the right forex management technique the right time is a paramount step to be taken by business and other concerned stakeholders. It is noteworthy that foreign exchange markets are quite unpredictable and extremely volatile. Herein, managing forex risks requires regular monitoring of the forex markets and a lot of patience in line in line with the applied strategies. Futures, forward, options, and currency swaps are the major types of managing foreign exchange risk exposure; however, there exist detailed differences amid these measures. </w:t>
      </w:r>
    </w:p>
    <w:p w:rsidR="00772DC9" w:rsidRPr="00EA4648" w:rsidRDefault="00772DC9" w:rsidP="00BE7CD6">
      <w:pPr>
        <w:spacing w:line="480" w:lineRule="auto"/>
        <w:ind w:firstLine="720"/>
        <w:rPr>
          <w:rFonts w:ascii="Times New Roman" w:hAnsi="Times New Roman" w:cs="Times New Roman"/>
          <w:sz w:val="24"/>
          <w:szCs w:val="24"/>
        </w:rPr>
      </w:pPr>
      <w:r w:rsidRPr="00EA4648">
        <w:rPr>
          <w:rFonts w:ascii="Times New Roman" w:hAnsi="Times New Roman" w:cs="Times New Roman"/>
          <w:sz w:val="24"/>
          <w:szCs w:val="24"/>
        </w:rPr>
        <w:t xml:space="preserve">Comparatively, forward contracts tend to be different from other forex control derivative instruments in that they are always held until expiration as well as physically settles since the counterparties are concerned with exchanging the underlying assets for cash (Liu et al., 2020). More importantly, forward contracts are generally customized contracts that are privately traded directly amid two well-known counterparts through the over-the-counter trading strategy. Forward contracts are featured with comprehensive contract terms. The derivative instrument is thoroughly customized per the </w:t>
      </w:r>
      <w:r w:rsidR="008E2D45">
        <w:rPr>
          <w:rFonts w:ascii="Times New Roman" w:hAnsi="Times New Roman" w:cs="Times New Roman"/>
          <w:sz w:val="24"/>
          <w:szCs w:val="24"/>
        </w:rPr>
        <w:t>stakeholders aspirations</w:t>
      </w:r>
      <w:r w:rsidRPr="00EA4648">
        <w:rPr>
          <w:rFonts w:ascii="Times New Roman" w:hAnsi="Times New Roman" w:cs="Times New Roman"/>
          <w:sz w:val="24"/>
          <w:szCs w:val="24"/>
        </w:rPr>
        <w:t xml:space="preserve">. Moreover, forward contracts lack a well-established default protection strategy, but a custom default-protection scheme may be inculcated through negotiation (Zsidisin &amp; Gaudenzi, 2018). Forward contracts are met during expiration or any other time after participant’s agreements.  </w:t>
      </w:r>
    </w:p>
    <w:p w:rsidR="00772DC9" w:rsidRPr="00EA4648" w:rsidRDefault="00772DC9" w:rsidP="00BE7CD6">
      <w:pPr>
        <w:spacing w:line="480" w:lineRule="auto"/>
        <w:ind w:firstLine="720"/>
        <w:rPr>
          <w:rFonts w:ascii="Times New Roman" w:hAnsi="Times New Roman" w:cs="Times New Roman"/>
          <w:sz w:val="24"/>
          <w:szCs w:val="24"/>
        </w:rPr>
      </w:pPr>
      <w:r w:rsidRPr="00EA4648">
        <w:rPr>
          <w:rFonts w:ascii="Times New Roman" w:hAnsi="Times New Roman" w:cs="Times New Roman"/>
          <w:sz w:val="24"/>
          <w:szCs w:val="24"/>
        </w:rPr>
        <w:t xml:space="preserve">Futures contracts appear to be different from other derivatives. Future traders tend to speculate on the price of the </w:t>
      </w:r>
      <w:r w:rsidR="00F815CB" w:rsidRPr="00EA4648">
        <w:rPr>
          <w:rFonts w:ascii="Times New Roman" w:hAnsi="Times New Roman" w:cs="Times New Roman"/>
          <w:sz w:val="24"/>
          <w:szCs w:val="24"/>
        </w:rPr>
        <w:t>primary</w:t>
      </w:r>
      <w:r w:rsidRPr="00EA4648">
        <w:rPr>
          <w:rFonts w:ascii="Times New Roman" w:hAnsi="Times New Roman" w:cs="Times New Roman"/>
          <w:sz w:val="24"/>
          <w:szCs w:val="24"/>
        </w:rPr>
        <w:t xml:space="preserve"> transactions to make a profit. Futures contracts originate from futures exchanges (Liu et al., 2020). A futures traders do not directly interact with a </w:t>
      </w:r>
      <w:r w:rsidRPr="00EA4648">
        <w:rPr>
          <w:rFonts w:ascii="Times New Roman" w:hAnsi="Times New Roman" w:cs="Times New Roman"/>
          <w:sz w:val="24"/>
          <w:szCs w:val="24"/>
        </w:rPr>
        <w:lastRenderedPageBreak/>
        <w:t xml:space="preserve">counterparty, but it the clearing house </w:t>
      </w:r>
      <w:r w:rsidR="00F815CB" w:rsidRPr="00EA4648">
        <w:rPr>
          <w:rFonts w:ascii="Times New Roman" w:hAnsi="Times New Roman" w:cs="Times New Roman"/>
          <w:sz w:val="24"/>
          <w:szCs w:val="24"/>
        </w:rPr>
        <w:t>arbitrates</w:t>
      </w:r>
      <w:r w:rsidRPr="00EA4648">
        <w:rPr>
          <w:rFonts w:ascii="Times New Roman" w:hAnsi="Times New Roman" w:cs="Times New Roman"/>
          <w:sz w:val="24"/>
          <w:szCs w:val="24"/>
        </w:rPr>
        <w:t xml:space="preserve"> </w:t>
      </w:r>
      <w:r w:rsidR="00F815CB">
        <w:rPr>
          <w:rFonts w:ascii="Times New Roman" w:hAnsi="Times New Roman" w:cs="Times New Roman"/>
          <w:sz w:val="24"/>
          <w:szCs w:val="24"/>
        </w:rPr>
        <w:t>every transition</w:t>
      </w:r>
      <w:r w:rsidRPr="00EA4648">
        <w:rPr>
          <w:rFonts w:ascii="Times New Roman" w:hAnsi="Times New Roman" w:cs="Times New Roman"/>
          <w:sz w:val="24"/>
          <w:szCs w:val="24"/>
        </w:rPr>
        <w:t>. Also, futures contracts are characterized by a highly standardized and guaranteed default control schemes, and the expiration dates cannot be negotiated.</w:t>
      </w:r>
    </w:p>
    <w:p w:rsidR="00772DC9" w:rsidRPr="00EA4648" w:rsidRDefault="00772DC9" w:rsidP="00BE7CD6">
      <w:pPr>
        <w:spacing w:line="480" w:lineRule="auto"/>
        <w:ind w:firstLine="720"/>
        <w:rPr>
          <w:rFonts w:ascii="Times New Roman" w:hAnsi="Times New Roman" w:cs="Times New Roman"/>
          <w:sz w:val="24"/>
          <w:szCs w:val="24"/>
        </w:rPr>
      </w:pPr>
      <w:r w:rsidRPr="00EA4648">
        <w:rPr>
          <w:rFonts w:ascii="Times New Roman" w:hAnsi="Times New Roman" w:cs="Times New Roman"/>
          <w:sz w:val="24"/>
          <w:szCs w:val="24"/>
        </w:rPr>
        <w:t xml:space="preserve">A currency option is another comparable derivative instrument of forex risk management. In currency options, buyers are mandated to meet upfront costs to purchase an option. The owner of a currency options contract </w:t>
      </w:r>
      <w:r w:rsidR="00F815CB">
        <w:rPr>
          <w:rFonts w:ascii="Times New Roman" w:hAnsi="Times New Roman" w:cs="Times New Roman"/>
          <w:sz w:val="24"/>
          <w:szCs w:val="24"/>
        </w:rPr>
        <w:t>is not mandated to</w:t>
      </w:r>
      <w:r w:rsidRPr="00EA4648">
        <w:rPr>
          <w:rFonts w:ascii="Times New Roman" w:hAnsi="Times New Roman" w:cs="Times New Roman"/>
          <w:sz w:val="24"/>
          <w:szCs w:val="24"/>
        </w:rPr>
        <w:t xml:space="preserve"> execute it no matter how profitable the deal could be (Van Greuning &amp; Bratanovic, 2020). Currency option buyers </w:t>
      </w:r>
      <w:r w:rsidR="00B21A0F">
        <w:rPr>
          <w:rFonts w:ascii="Times New Roman" w:hAnsi="Times New Roman" w:cs="Times New Roman"/>
          <w:sz w:val="24"/>
          <w:szCs w:val="24"/>
        </w:rPr>
        <w:t>may incur loss for more</w:t>
      </w:r>
      <w:r w:rsidRPr="00EA4648">
        <w:rPr>
          <w:rFonts w:ascii="Times New Roman" w:hAnsi="Times New Roman" w:cs="Times New Roman"/>
          <w:sz w:val="24"/>
          <w:szCs w:val="24"/>
        </w:rPr>
        <w:t xml:space="preserve"> the premium pay. The option seller is featured with unlimited risk on their co</w:t>
      </w:r>
      <w:r w:rsidR="00B21A0F">
        <w:rPr>
          <w:rFonts w:ascii="Times New Roman" w:hAnsi="Times New Roman" w:cs="Times New Roman"/>
          <w:sz w:val="24"/>
          <w:szCs w:val="24"/>
        </w:rPr>
        <w:t xml:space="preserve">ntracts </w:t>
      </w:r>
      <w:r w:rsidRPr="00EA4648">
        <w:rPr>
          <w:rFonts w:ascii="Times New Roman" w:hAnsi="Times New Roman" w:cs="Times New Roman"/>
          <w:sz w:val="24"/>
          <w:szCs w:val="24"/>
        </w:rPr>
        <w:t xml:space="preserve">(Liu et al., 2020). Currency options are generally </w:t>
      </w:r>
      <w:r w:rsidR="00B21A0F">
        <w:rPr>
          <w:rFonts w:ascii="Times New Roman" w:hAnsi="Times New Roman" w:cs="Times New Roman"/>
          <w:sz w:val="24"/>
          <w:szCs w:val="24"/>
        </w:rPr>
        <w:t>cheaper</w:t>
      </w:r>
      <w:r w:rsidRPr="00EA4648">
        <w:rPr>
          <w:rFonts w:ascii="Times New Roman" w:hAnsi="Times New Roman" w:cs="Times New Roman"/>
          <w:sz w:val="24"/>
          <w:szCs w:val="24"/>
        </w:rPr>
        <w:t xml:space="preserve"> than futures, and they control a smaller amount of the </w:t>
      </w:r>
      <w:r w:rsidR="00B21A0F" w:rsidRPr="00EA4648">
        <w:rPr>
          <w:rFonts w:ascii="Times New Roman" w:hAnsi="Times New Roman" w:cs="Times New Roman"/>
          <w:sz w:val="24"/>
          <w:szCs w:val="24"/>
        </w:rPr>
        <w:t>core</w:t>
      </w:r>
      <w:r w:rsidRPr="00EA4648">
        <w:rPr>
          <w:rFonts w:ascii="Times New Roman" w:hAnsi="Times New Roman" w:cs="Times New Roman"/>
          <w:sz w:val="24"/>
          <w:szCs w:val="24"/>
        </w:rPr>
        <w:t xml:space="preserve"> asset. The difference between currency swap and other derivative instruments swap is an agreement amid two identified parties to exchange financial instruments. Currency swaps are based in cash flows. </w:t>
      </w:r>
    </w:p>
    <w:p w:rsidR="00772DC9" w:rsidRPr="00EA4648" w:rsidRDefault="00772DC9" w:rsidP="00BE7CD6">
      <w:pPr>
        <w:spacing w:line="480" w:lineRule="auto"/>
        <w:jc w:val="center"/>
        <w:rPr>
          <w:rFonts w:ascii="Times New Roman" w:hAnsi="Times New Roman" w:cs="Times New Roman"/>
          <w:b/>
          <w:sz w:val="24"/>
          <w:szCs w:val="24"/>
        </w:rPr>
      </w:pPr>
      <w:r w:rsidRPr="00EA4648">
        <w:rPr>
          <w:rFonts w:ascii="Times New Roman" w:hAnsi="Times New Roman" w:cs="Times New Roman"/>
          <w:b/>
          <w:sz w:val="24"/>
          <w:szCs w:val="24"/>
        </w:rPr>
        <w:t>Non-financial options for managing exchange rate risks</w:t>
      </w:r>
    </w:p>
    <w:p w:rsidR="00772DC9" w:rsidRPr="00EA4648" w:rsidRDefault="00772DC9" w:rsidP="00BE7CD6">
      <w:pPr>
        <w:spacing w:line="480" w:lineRule="auto"/>
        <w:ind w:firstLine="720"/>
        <w:rPr>
          <w:rFonts w:ascii="Times New Roman" w:hAnsi="Times New Roman" w:cs="Times New Roman"/>
          <w:sz w:val="24"/>
          <w:szCs w:val="24"/>
        </w:rPr>
      </w:pPr>
      <w:r w:rsidRPr="00EA4648">
        <w:rPr>
          <w:rFonts w:ascii="Times New Roman" w:hAnsi="Times New Roman" w:cs="Times New Roman"/>
          <w:sz w:val="24"/>
          <w:szCs w:val="24"/>
        </w:rPr>
        <w:t>Investors are served with a wide array of investments such as stocks, bonds, and mutual funds. Notably, financial investors are mandated to take inevitable control of the unique risks and rewards affiliated with the forex rates (Hadjigeorgiou, 2019). Investors should consider alternative options for managin</w:t>
      </w:r>
      <w:r w:rsidR="00EA4648" w:rsidRPr="00EA4648">
        <w:rPr>
          <w:rFonts w:ascii="Times New Roman" w:hAnsi="Times New Roman" w:cs="Times New Roman"/>
          <w:sz w:val="24"/>
          <w:szCs w:val="24"/>
        </w:rPr>
        <w:t>g their foreign exchange risks.</w:t>
      </w:r>
      <w:r w:rsidRPr="00EA4648">
        <w:rPr>
          <w:rFonts w:ascii="Times New Roman" w:hAnsi="Times New Roman" w:cs="Times New Roman"/>
          <w:sz w:val="24"/>
          <w:szCs w:val="24"/>
        </w:rPr>
        <w:t xml:space="preserve"> Arguably, investors should carry research on currencies of different countries to understand forex fluctuations and minimize their exposure to foreign exchange risks even if there is no chance to eliminate the affiliated risks. Research allows investors to comprehend the trends of foreign exchange rates before planning to invest (Liu et al., 2020). Countries which have a low debt to GDP ratios are likely to have promising exchange rates, and hence you are more likely to realize a profit by investing with them. As a business intellect, it is always essential to stay disciplined by setting potential limits </w:t>
      </w:r>
      <w:r w:rsidRPr="00EA4648">
        <w:rPr>
          <w:rFonts w:ascii="Times New Roman" w:hAnsi="Times New Roman" w:cs="Times New Roman"/>
          <w:sz w:val="24"/>
          <w:szCs w:val="24"/>
        </w:rPr>
        <w:lastRenderedPageBreak/>
        <w:t>with an aim to avoid any worst-case scenario. In this context, there is a need to identify what exchange rate limits are acceptable and what exchange rates and transactions will no longer be cost-effective.</w:t>
      </w:r>
    </w:p>
    <w:p w:rsidR="00772DC9" w:rsidRPr="00EA4648" w:rsidRDefault="00772DC9" w:rsidP="00BE7CD6">
      <w:pPr>
        <w:spacing w:line="480" w:lineRule="auto"/>
        <w:ind w:firstLine="720"/>
        <w:rPr>
          <w:rFonts w:ascii="Times New Roman" w:hAnsi="Times New Roman" w:cs="Times New Roman"/>
          <w:sz w:val="24"/>
          <w:szCs w:val="24"/>
        </w:rPr>
      </w:pPr>
      <w:r w:rsidRPr="00EA4648">
        <w:rPr>
          <w:rFonts w:ascii="Times New Roman" w:hAnsi="Times New Roman" w:cs="Times New Roman"/>
          <w:sz w:val="24"/>
          <w:szCs w:val="24"/>
        </w:rPr>
        <w:t>Another non-financial strategy entails investing in hedged investments. In this context, hedging helps in boosting the extent of certainty to future costs, allowing investment to fix the purchase price and minimize the future effect of exchange rate variations. Herein, foreign investors are required to avoid investing whenever the local currency is depreciating against the foreign-investment currency (Liu et al., 2020). From another point of view, investing in foreign assets boosts portfolio returns while eliminating overall risk. Considering the effects of diversified geographies and instrumental types, it is wise to avoid making investments in foreign markets.</w:t>
      </w:r>
    </w:p>
    <w:p w:rsidR="00BE7CD6" w:rsidRDefault="00BE7CD6" w:rsidP="00BE7CD6">
      <w:pPr>
        <w:spacing w:line="480" w:lineRule="auto"/>
        <w:jc w:val="center"/>
        <w:rPr>
          <w:rFonts w:ascii="Times New Roman" w:hAnsi="Times New Roman" w:cs="Times New Roman"/>
          <w:sz w:val="24"/>
          <w:szCs w:val="24"/>
        </w:rPr>
      </w:pPr>
    </w:p>
    <w:p w:rsidR="00BE7CD6" w:rsidRDefault="00BE7CD6" w:rsidP="00BE7CD6">
      <w:pPr>
        <w:spacing w:line="480" w:lineRule="auto"/>
        <w:jc w:val="center"/>
        <w:rPr>
          <w:rFonts w:ascii="Times New Roman" w:hAnsi="Times New Roman" w:cs="Times New Roman"/>
          <w:sz w:val="24"/>
          <w:szCs w:val="24"/>
        </w:rPr>
      </w:pPr>
    </w:p>
    <w:p w:rsidR="00BE7CD6" w:rsidRDefault="00BE7CD6" w:rsidP="00BE7CD6">
      <w:pPr>
        <w:spacing w:line="480" w:lineRule="auto"/>
        <w:jc w:val="center"/>
        <w:rPr>
          <w:rFonts w:ascii="Times New Roman" w:hAnsi="Times New Roman" w:cs="Times New Roman"/>
          <w:sz w:val="24"/>
          <w:szCs w:val="24"/>
        </w:rPr>
      </w:pPr>
    </w:p>
    <w:p w:rsidR="00BE7CD6" w:rsidRDefault="00BE7CD6" w:rsidP="00BE7CD6">
      <w:pPr>
        <w:spacing w:line="480" w:lineRule="auto"/>
        <w:jc w:val="center"/>
        <w:rPr>
          <w:rFonts w:ascii="Times New Roman" w:hAnsi="Times New Roman" w:cs="Times New Roman"/>
          <w:sz w:val="24"/>
          <w:szCs w:val="24"/>
        </w:rPr>
      </w:pPr>
    </w:p>
    <w:p w:rsidR="00BE7CD6" w:rsidRDefault="00BE7CD6" w:rsidP="00BE7CD6">
      <w:pPr>
        <w:spacing w:line="480" w:lineRule="auto"/>
        <w:jc w:val="center"/>
        <w:rPr>
          <w:rFonts w:ascii="Times New Roman" w:hAnsi="Times New Roman" w:cs="Times New Roman"/>
          <w:sz w:val="24"/>
          <w:szCs w:val="24"/>
        </w:rPr>
      </w:pPr>
    </w:p>
    <w:p w:rsidR="00BE7CD6" w:rsidRDefault="00BE7CD6" w:rsidP="00BE7CD6">
      <w:pPr>
        <w:spacing w:line="480" w:lineRule="auto"/>
        <w:jc w:val="center"/>
        <w:rPr>
          <w:rFonts w:ascii="Times New Roman" w:hAnsi="Times New Roman" w:cs="Times New Roman"/>
          <w:sz w:val="24"/>
          <w:szCs w:val="24"/>
        </w:rPr>
      </w:pPr>
    </w:p>
    <w:p w:rsidR="00BE7CD6" w:rsidRDefault="00BE7CD6" w:rsidP="00BE7CD6">
      <w:pPr>
        <w:spacing w:line="480" w:lineRule="auto"/>
        <w:jc w:val="center"/>
        <w:rPr>
          <w:rFonts w:ascii="Times New Roman" w:hAnsi="Times New Roman" w:cs="Times New Roman"/>
          <w:sz w:val="24"/>
          <w:szCs w:val="24"/>
        </w:rPr>
      </w:pPr>
    </w:p>
    <w:p w:rsidR="00BE7CD6" w:rsidRDefault="00BE7CD6" w:rsidP="00BE7CD6">
      <w:pPr>
        <w:spacing w:line="480" w:lineRule="auto"/>
        <w:jc w:val="center"/>
        <w:rPr>
          <w:rFonts w:ascii="Times New Roman" w:hAnsi="Times New Roman" w:cs="Times New Roman"/>
          <w:sz w:val="24"/>
          <w:szCs w:val="24"/>
        </w:rPr>
      </w:pPr>
    </w:p>
    <w:p w:rsidR="002E6AE5" w:rsidRDefault="002E6AE5" w:rsidP="00BE7CD6">
      <w:pPr>
        <w:spacing w:line="480" w:lineRule="auto"/>
        <w:jc w:val="center"/>
        <w:rPr>
          <w:rFonts w:ascii="Times New Roman" w:hAnsi="Times New Roman" w:cs="Times New Roman"/>
          <w:sz w:val="24"/>
          <w:szCs w:val="24"/>
        </w:rPr>
      </w:pPr>
      <w:bookmarkStart w:id="0" w:name="_GoBack"/>
      <w:bookmarkEnd w:id="0"/>
    </w:p>
    <w:p w:rsidR="00BE7CD6" w:rsidRPr="00EA4648" w:rsidRDefault="00BE7CD6" w:rsidP="00BE7CD6">
      <w:pPr>
        <w:spacing w:line="480" w:lineRule="auto"/>
        <w:jc w:val="center"/>
        <w:rPr>
          <w:rFonts w:ascii="Times New Roman" w:hAnsi="Times New Roman" w:cs="Times New Roman"/>
          <w:sz w:val="24"/>
          <w:szCs w:val="24"/>
        </w:rPr>
      </w:pPr>
      <w:r w:rsidRPr="00EA4648">
        <w:rPr>
          <w:rFonts w:ascii="Times New Roman" w:hAnsi="Times New Roman" w:cs="Times New Roman"/>
          <w:sz w:val="24"/>
          <w:szCs w:val="24"/>
        </w:rPr>
        <w:lastRenderedPageBreak/>
        <w:t>References</w:t>
      </w:r>
    </w:p>
    <w:p w:rsidR="00BE7CD6" w:rsidRPr="00EA4648" w:rsidRDefault="00BE7CD6" w:rsidP="00BE7CD6">
      <w:pPr>
        <w:spacing w:line="480" w:lineRule="auto"/>
        <w:ind w:left="720" w:hanging="720"/>
        <w:rPr>
          <w:rFonts w:ascii="Times New Roman" w:hAnsi="Times New Roman" w:cs="Times New Roman"/>
          <w:color w:val="222222"/>
          <w:sz w:val="24"/>
          <w:szCs w:val="24"/>
          <w:shd w:val="clear" w:color="auto" w:fill="FFFFFF"/>
        </w:rPr>
      </w:pPr>
      <w:r w:rsidRPr="00EA4648">
        <w:rPr>
          <w:rFonts w:ascii="Times New Roman" w:hAnsi="Times New Roman" w:cs="Times New Roman"/>
          <w:color w:val="222222"/>
          <w:sz w:val="24"/>
          <w:szCs w:val="24"/>
          <w:shd w:val="clear" w:color="auto" w:fill="FFFFFF"/>
        </w:rPr>
        <w:t>Hadjigeorgiou, J. (2019, April). Understanding, managing and communicating geomechanical mining risk. In </w:t>
      </w:r>
      <w:r w:rsidRPr="00EA4648">
        <w:rPr>
          <w:rFonts w:ascii="Times New Roman" w:hAnsi="Times New Roman" w:cs="Times New Roman"/>
          <w:i/>
          <w:iCs/>
          <w:color w:val="222222"/>
          <w:sz w:val="24"/>
          <w:szCs w:val="24"/>
          <w:shd w:val="clear" w:color="auto" w:fill="FFFFFF"/>
        </w:rPr>
        <w:t>Proceedings of the First International Conference on Mining Geomechanical Risk</w:t>
      </w:r>
      <w:r w:rsidRPr="00EA4648">
        <w:rPr>
          <w:rFonts w:ascii="Times New Roman" w:hAnsi="Times New Roman" w:cs="Times New Roman"/>
          <w:color w:val="222222"/>
          <w:sz w:val="24"/>
          <w:szCs w:val="24"/>
          <w:shd w:val="clear" w:color="auto" w:fill="FFFFFF"/>
        </w:rPr>
        <w:t> (pp. 3-20). Australian Centre for Geomechanics.</w:t>
      </w:r>
    </w:p>
    <w:p w:rsidR="00BE7CD6" w:rsidRPr="00EA4648" w:rsidRDefault="00BE7CD6" w:rsidP="00BE7CD6">
      <w:pPr>
        <w:spacing w:line="480" w:lineRule="auto"/>
        <w:ind w:left="720" w:hanging="720"/>
        <w:rPr>
          <w:rFonts w:ascii="Times New Roman" w:hAnsi="Times New Roman" w:cs="Times New Roman"/>
          <w:color w:val="222222"/>
          <w:sz w:val="24"/>
          <w:szCs w:val="24"/>
          <w:shd w:val="clear" w:color="auto" w:fill="FFFFFF"/>
        </w:rPr>
      </w:pPr>
      <w:r w:rsidRPr="00EA4648">
        <w:rPr>
          <w:rFonts w:ascii="Times New Roman" w:hAnsi="Times New Roman" w:cs="Times New Roman"/>
          <w:color w:val="222222"/>
          <w:sz w:val="24"/>
          <w:szCs w:val="24"/>
          <w:shd w:val="clear" w:color="auto" w:fill="FFFFFF"/>
        </w:rPr>
        <w:t>Lama, R., &amp; Medina, J. P. (2020). </w:t>
      </w:r>
      <w:r w:rsidRPr="00EA4648">
        <w:rPr>
          <w:rFonts w:ascii="Times New Roman" w:hAnsi="Times New Roman" w:cs="Times New Roman"/>
          <w:i/>
          <w:iCs/>
          <w:color w:val="222222"/>
          <w:sz w:val="24"/>
          <w:szCs w:val="24"/>
          <w:shd w:val="clear" w:color="auto" w:fill="FFFFFF"/>
        </w:rPr>
        <w:t>Shocks Matter: Managing Capital Flows with Multiple Instruments in Emerging Economies</w:t>
      </w:r>
      <w:r w:rsidRPr="00EA4648">
        <w:rPr>
          <w:rFonts w:ascii="Times New Roman" w:hAnsi="Times New Roman" w:cs="Times New Roman"/>
          <w:color w:val="222222"/>
          <w:sz w:val="24"/>
          <w:szCs w:val="24"/>
          <w:shd w:val="clear" w:color="auto" w:fill="FFFFFF"/>
        </w:rPr>
        <w:t> (No. 20/97). International Monetary Fund.</w:t>
      </w:r>
    </w:p>
    <w:p w:rsidR="00BE7CD6" w:rsidRPr="00EA4648" w:rsidRDefault="00BE7CD6" w:rsidP="00BE7CD6">
      <w:pPr>
        <w:spacing w:line="480" w:lineRule="auto"/>
        <w:rPr>
          <w:rFonts w:ascii="Times New Roman" w:hAnsi="Times New Roman" w:cs="Times New Roman"/>
          <w:color w:val="222222"/>
          <w:sz w:val="24"/>
          <w:szCs w:val="24"/>
          <w:shd w:val="clear" w:color="auto" w:fill="FFFFFF"/>
        </w:rPr>
      </w:pPr>
      <w:r w:rsidRPr="00EA4648">
        <w:rPr>
          <w:rFonts w:ascii="Times New Roman" w:hAnsi="Times New Roman" w:cs="Times New Roman"/>
          <w:color w:val="222222"/>
          <w:sz w:val="24"/>
          <w:szCs w:val="24"/>
          <w:shd w:val="clear" w:color="auto" w:fill="FFFFFF"/>
        </w:rPr>
        <w:t>Liu, H. H., Chang, A., &amp; Shiu, Y. M. (2020). Interest rate derivatives and risk exposure: Evidence from the life insurance industry. </w:t>
      </w:r>
      <w:r w:rsidRPr="00EA4648">
        <w:rPr>
          <w:rFonts w:ascii="Times New Roman" w:hAnsi="Times New Roman" w:cs="Times New Roman"/>
          <w:i/>
          <w:iCs/>
          <w:color w:val="222222"/>
          <w:sz w:val="24"/>
          <w:szCs w:val="24"/>
          <w:shd w:val="clear" w:color="auto" w:fill="FFFFFF"/>
        </w:rPr>
        <w:t>The North American Journal of Economics and Finance</w:t>
      </w:r>
      <w:r w:rsidRPr="00EA4648">
        <w:rPr>
          <w:rFonts w:ascii="Times New Roman" w:hAnsi="Times New Roman" w:cs="Times New Roman"/>
          <w:color w:val="222222"/>
          <w:sz w:val="24"/>
          <w:szCs w:val="24"/>
          <w:shd w:val="clear" w:color="auto" w:fill="FFFFFF"/>
        </w:rPr>
        <w:t>, </w:t>
      </w:r>
      <w:r w:rsidRPr="00EA4648">
        <w:rPr>
          <w:rFonts w:ascii="Times New Roman" w:hAnsi="Times New Roman" w:cs="Times New Roman"/>
          <w:i/>
          <w:iCs/>
          <w:color w:val="222222"/>
          <w:sz w:val="24"/>
          <w:szCs w:val="24"/>
          <w:shd w:val="clear" w:color="auto" w:fill="FFFFFF"/>
        </w:rPr>
        <w:t>51</w:t>
      </w:r>
      <w:r w:rsidRPr="00EA4648">
        <w:rPr>
          <w:rFonts w:ascii="Times New Roman" w:hAnsi="Times New Roman" w:cs="Times New Roman"/>
          <w:color w:val="222222"/>
          <w:sz w:val="24"/>
          <w:szCs w:val="24"/>
          <w:shd w:val="clear" w:color="auto" w:fill="FFFFFF"/>
        </w:rPr>
        <w:t>, 100978.</w:t>
      </w:r>
    </w:p>
    <w:p w:rsidR="00BE7CD6" w:rsidRPr="00EA4648" w:rsidRDefault="00BE7CD6" w:rsidP="00BE7CD6">
      <w:pPr>
        <w:spacing w:line="480" w:lineRule="auto"/>
        <w:ind w:left="720" w:hanging="720"/>
        <w:rPr>
          <w:rFonts w:ascii="Times New Roman" w:hAnsi="Times New Roman" w:cs="Times New Roman"/>
          <w:color w:val="222222"/>
          <w:sz w:val="24"/>
          <w:szCs w:val="24"/>
          <w:shd w:val="clear" w:color="auto" w:fill="FFFFFF"/>
        </w:rPr>
      </w:pPr>
      <w:r w:rsidRPr="00EA4648">
        <w:rPr>
          <w:rFonts w:ascii="Times New Roman" w:hAnsi="Times New Roman" w:cs="Times New Roman"/>
          <w:color w:val="222222"/>
          <w:sz w:val="24"/>
          <w:szCs w:val="24"/>
          <w:shd w:val="clear" w:color="auto" w:fill="FFFFFF"/>
        </w:rPr>
        <w:t>Schrimpf, A., &amp; Sushko, V. (2019). Sizing up global foreign exchange markets. </w:t>
      </w:r>
      <w:r w:rsidRPr="00EA4648">
        <w:rPr>
          <w:rFonts w:ascii="Times New Roman" w:hAnsi="Times New Roman" w:cs="Times New Roman"/>
          <w:i/>
          <w:iCs/>
          <w:color w:val="222222"/>
          <w:sz w:val="24"/>
          <w:szCs w:val="24"/>
          <w:shd w:val="clear" w:color="auto" w:fill="FFFFFF"/>
        </w:rPr>
        <w:t>BIS Quarterly Review, December</w:t>
      </w:r>
      <w:r w:rsidRPr="00EA4648">
        <w:rPr>
          <w:rFonts w:ascii="Times New Roman" w:hAnsi="Times New Roman" w:cs="Times New Roman"/>
          <w:color w:val="222222"/>
          <w:sz w:val="24"/>
          <w:szCs w:val="24"/>
          <w:shd w:val="clear" w:color="auto" w:fill="FFFFFF"/>
        </w:rPr>
        <w:t>.</w:t>
      </w:r>
    </w:p>
    <w:p w:rsidR="00BE7CD6" w:rsidRPr="00EA4648" w:rsidRDefault="00BE7CD6" w:rsidP="00BE7CD6">
      <w:pPr>
        <w:spacing w:line="480" w:lineRule="auto"/>
        <w:ind w:left="720" w:hanging="720"/>
        <w:rPr>
          <w:rFonts w:ascii="Times New Roman" w:hAnsi="Times New Roman" w:cs="Times New Roman"/>
          <w:color w:val="222222"/>
          <w:sz w:val="24"/>
          <w:szCs w:val="24"/>
          <w:shd w:val="clear" w:color="auto" w:fill="FFFFFF"/>
        </w:rPr>
      </w:pPr>
      <w:r w:rsidRPr="00EA4648">
        <w:rPr>
          <w:rFonts w:ascii="Times New Roman" w:hAnsi="Times New Roman" w:cs="Times New Roman"/>
          <w:color w:val="222222"/>
          <w:sz w:val="24"/>
          <w:szCs w:val="24"/>
          <w:shd w:val="clear" w:color="auto" w:fill="FFFFFF"/>
        </w:rPr>
        <w:t>Shanker, L., &amp; Satir, A. (2019). Managing foreign exchange risk with buyer–supplier contracts. </w:t>
      </w:r>
      <w:r w:rsidRPr="00EA4648">
        <w:rPr>
          <w:rFonts w:ascii="Times New Roman" w:hAnsi="Times New Roman" w:cs="Times New Roman"/>
          <w:i/>
          <w:iCs/>
          <w:color w:val="222222"/>
          <w:sz w:val="24"/>
          <w:szCs w:val="24"/>
          <w:shd w:val="clear" w:color="auto" w:fill="FFFFFF"/>
        </w:rPr>
        <w:t>Annals of Operations Research</w:t>
      </w:r>
      <w:r w:rsidRPr="00EA4648">
        <w:rPr>
          <w:rFonts w:ascii="Times New Roman" w:hAnsi="Times New Roman" w:cs="Times New Roman"/>
          <w:color w:val="222222"/>
          <w:sz w:val="24"/>
          <w:szCs w:val="24"/>
          <w:shd w:val="clear" w:color="auto" w:fill="FFFFFF"/>
        </w:rPr>
        <w:t>, 1-24.</w:t>
      </w:r>
    </w:p>
    <w:p w:rsidR="00BE7CD6" w:rsidRPr="00EA4648" w:rsidRDefault="00BE7CD6" w:rsidP="00BE7CD6">
      <w:pPr>
        <w:spacing w:line="480" w:lineRule="auto"/>
        <w:rPr>
          <w:rFonts w:ascii="Times New Roman" w:hAnsi="Times New Roman" w:cs="Times New Roman"/>
          <w:i/>
          <w:sz w:val="24"/>
          <w:szCs w:val="24"/>
        </w:rPr>
      </w:pPr>
      <w:r w:rsidRPr="00EA4648">
        <w:rPr>
          <w:rFonts w:ascii="Times New Roman" w:hAnsi="Times New Roman" w:cs="Times New Roman"/>
          <w:color w:val="222222"/>
          <w:sz w:val="24"/>
          <w:szCs w:val="24"/>
          <w:shd w:val="clear" w:color="auto" w:fill="FFFFFF"/>
        </w:rPr>
        <w:t xml:space="preserve">Van Greuning, H., &amp; Bratanovic, S. S. B. (2020). Market Risk Management. </w:t>
      </w:r>
      <w:r w:rsidRPr="00EA4648">
        <w:rPr>
          <w:rFonts w:ascii="Times New Roman" w:hAnsi="Times New Roman" w:cs="Times New Roman"/>
          <w:i/>
          <w:color w:val="222222"/>
          <w:sz w:val="24"/>
          <w:szCs w:val="24"/>
          <w:shd w:val="clear" w:color="auto" w:fill="FFFFFF"/>
        </w:rPr>
        <w:t>International Monetary Fund.</w:t>
      </w:r>
    </w:p>
    <w:p w:rsidR="00BE7CD6" w:rsidRPr="00EA4648" w:rsidRDefault="00BE7CD6" w:rsidP="00BE7CD6">
      <w:pPr>
        <w:spacing w:line="480" w:lineRule="auto"/>
        <w:ind w:left="720" w:hanging="720"/>
        <w:rPr>
          <w:rFonts w:ascii="Times New Roman" w:hAnsi="Times New Roman" w:cs="Times New Roman"/>
          <w:color w:val="222222"/>
          <w:sz w:val="24"/>
          <w:szCs w:val="24"/>
          <w:shd w:val="clear" w:color="auto" w:fill="FFFFFF"/>
        </w:rPr>
      </w:pPr>
      <w:r w:rsidRPr="00EA4648">
        <w:rPr>
          <w:rFonts w:ascii="Times New Roman" w:hAnsi="Times New Roman" w:cs="Times New Roman"/>
          <w:color w:val="222222"/>
          <w:sz w:val="24"/>
          <w:szCs w:val="24"/>
          <w:shd w:val="clear" w:color="auto" w:fill="FFFFFF"/>
        </w:rPr>
        <w:t>Zsidisin, G. A., &amp; Gaudenzi, B. (2018). Transcending beyond finance for managing foreign exchange risk. </w:t>
      </w:r>
      <w:r w:rsidRPr="00EA4648">
        <w:rPr>
          <w:rFonts w:ascii="Times New Roman" w:hAnsi="Times New Roman" w:cs="Times New Roman"/>
          <w:i/>
          <w:iCs/>
          <w:color w:val="222222"/>
          <w:sz w:val="24"/>
          <w:szCs w:val="24"/>
          <w:shd w:val="clear" w:color="auto" w:fill="FFFFFF"/>
        </w:rPr>
        <w:t>Routledge companion to risk, crisis and security in business</w:t>
      </w:r>
      <w:r w:rsidRPr="00EA4648">
        <w:rPr>
          <w:rFonts w:ascii="Times New Roman" w:hAnsi="Times New Roman" w:cs="Times New Roman"/>
          <w:color w:val="222222"/>
          <w:sz w:val="24"/>
          <w:szCs w:val="24"/>
          <w:shd w:val="clear" w:color="auto" w:fill="FFFFFF"/>
        </w:rPr>
        <w:t>, 319-327.</w:t>
      </w:r>
    </w:p>
    <w:p w:rsidR="00BE7CD6" w:rsidRDefault="00BE7CD6" w:rsidP="00BE7CD6">
      <w:pPr>
        <w:spacing w:line="480" w:lineRule="auto"/>
      </w:pPr>
    </w:p>
    <w:p w:rsidR="00EA4648" w:rsidRPr="00EA4648" w:rsidRDefault="00EA4648" w:rsidP="00BE7CD6">
      <w:pPr>
        <w:spacing w:line="480" w:lineRule="auto"/>
        <w:rPr>
          <w:rFonts w:ascii="Times New Roman" w:hAnsi="Times New Roman" w:cs="Times New Roman"/>
          <w:sz w:val="24"/>
          <w:szCs w:val="24"/>
        </w:rPr>
      </w:pPr>
    </w:p>
    <w:p w:rsidR="00EA4648" w:rsidRPr="00EA4648" w:rsidRDefault="00EA4648" w:rsidP="00BE7CD6">
      <w:pPr>
        <w:spacing w:line="480" w:lineRule="auto"/>
        <w:ind w:firstLine="720"/>
        <w:rPr>
          <w:rFonts w:ascii="Times New Roman" w:hAnsi="Times New Roman" w:cs="Times New Roman"/>
          <w:sz w:val="24"/>
          <w:szCs w:val="24"/>
        </w:rPr>
      </w:pPr>
    </w:p>
    <w:p w:rsidR="00EA4648" w:rsidRPr="00EA4648" w:rsidRDefault="00EA4648" w:rsidP="00BE7CD6">
      <w:pPr>
        <w:spacing w:line="480" w:lineRule="auto"/>
        <w:ind w:firstLine="720"/>
        <w:rPr>
          <w:rFonts w:ascii="Times New Roman" w:hAnsi="Times New Roman" w:cs="Times New Roman"/>
          <w:sz w:val="24"/>
          <w:szCs w:val="24"/>
        </w:rPr>
      </w:pPr>
    </w:p>
    <w:p w:rsidR="00EA4648" w:rsidRPr="00EA4648" w:rsidRDefault="00EA4648" w:rsidP="00BE7CD6">
      <w:pPr>
        <w:spacing w:line="480" w:lineRule="auto"/>
        <w:ind w:firstLine="720"/>
        <w:rPr>
          <w:rFonts w:ascii="Times New Roman" w:hAnsi="Times New Roman" w:cs="Times New Roman"/>
          <w:sz w:val="24"/>
          <w:szCs w:val="24"/>
        </w:rPr>
      </w:pPr>
    </w:p>
    <w:p w:rsidR="00EA4648" w:rsidRPr="00EA4648" w:rsidRDefault="00EA4648" w:rsidP="00BE7CD6">
      <w:pPr>
        <w:spacing w:line="480" w:lineRule="auto"/>
        <w:ind w:firstLine="720"/>
        <w:rPr>
          <w:rFonts w:ascii="Times New Roman" w:hAnsi="Times New Roman" w:cs="Times New Roman"/>
          <w:sz w:val="24"/>
          <w:szCs w:val="24"/>
        </w:rPr>
      </w:pPr>
    </w:p>
    <w:sectPr w:rsidR="00EA4648" w:rsidRPr="00EA464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6D6E" w:rsidRDefault="00926D6E" w:rsidP="00772DC9">
      <w:pPr>
        <w:spacing w:after="0" w:line="240" w:lineRule="auto"/>
      </w:pPr>
      <w:r>
        <w:separator/>
      </w:r>
    </w:p>
  </w:endnote>
  <w:endnote w:type="continuationSeparator" w:id="0">
    <w:p w:rsidR="00926D6E" w:rsidRDefault="00926D6E" w:rsidP="00772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6D6E" w:rsidRDefault="00926D6E" w:rsidP="00772DC9">
      <w:pPr>
        <w:spacing w:after="0" w:line="240" w:lineRule="auto"/>
      </w:pPr>
      <w:r>
        <w:separator/>
      </w:r>
    </w:p>
  </w:footnote>
  <w:footnote w:type="continuationSeparator" w:id="0">
    <w:p w:rsidR="00926D6E" w:rsidRDefault="00926D6E" w:rsidP="00772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64923182"/>
      <w:docPartObj>
        <w:docPartGallery w:val="Page Numbers (Top of Page)"/>
        <w:docPartUnique/>
      </w:docPartObj>
    </w:sdtPr>
    <w:sdtEndPr>
      <w:rPr>
        <w:noProof/>
      </w:rPr>
    </w:sdtEndPr>
    <w:sdtContent>
      <w:p w:rsidR="00772DC9" w:rsidRPr="00772DC9" w:rsidRDefault="00772DC9">
        <w:pPr>
          <w:pStyle w:val="Header"/>
          <w:jc w:val="right"/>
          <w:rPr>
            <w:rFonts w:ascii="Times New Roman" w:hAnsi="Times New Roman" w:cs="Times New Roman"/>
            <w:sz w:val="24"/>
            <w:szCs w:val="24"/>
          </w:rPr>
        </w:pPr>
        <w:r w:rsidRPr="00772DC9">
          <w:rPr>
            <w:rFonts w:ascii="Times New Roman" w:hAnsi="Times New Roman" w:cs="Times New Roman"/>
            <w:sz w:val="24"/>
            <w:szCs w:val="24"/>
          </w:rPr>
          <w:fldChar w:fldCharType="begin"/>
        </w:r>
        <w:r w:rsidRPr="00772DC9">
          <w:rPr>
            <w:rFonts w:ascii="Times New Roman" w:hAnsi="Times New Roman" w:cs="Times New Roman"/>
            <w:sz w:val="24"/>
            <w:szCs w:val="24"/>
          </w:rPr>
          <w:instrText xml:space="preserve"> PAGE   \* MERGEFORMAT </w:instrText>
        </w:r>
        <w:r w:rsidRPr="00772DC9">
          <w:rPr>
            <w:rFonts w:ascii="Times New Roman" w:hAnsi="Times New Roman" w:cs="Times New Roman"/>
            <w:sz w:val="24"/>
            <w:szCs w:val="24"/>
          </w:rPr>
          <w:fldChar w:fldCharType="separate"/>
        </w:r>
        <w:r w:rsidR="00C04263">
          <w:rPr>
            <w:rFonts w:ascii="Times New Roman" w:hAnsi="Times New Roman" w:cs="Times New Roman"/>
            <w:noProof/>
            <w:sz w:val="24"/>
            <w:szCs w:val="24"/>
          </w:rPr>
          <w:t>8</w:t>
        </w:r>
        <w:r w:rsidRPr="00772DC9">
          <w:rPr>
            <w:rFonts w:ascii="Times New Roman" w:hAnsi="Times New Roman" w:cs="Times New Roman"/>
            <w:noProof/>
            <w:sz w:val="24"/>
            <w:szCs w:val="24"/>
          </w:rPr>
          <w:fldChar w:fldCharType="end"/>
        </w:r>
      </w:p>
    </w:sdtContent>
  </w:sdt>
  <w:p w:rsidR="00772DC9" w:rsidRPr="00772DC9" w:rsidRDefault="00772DC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F3B"/>
    <w:rsid w:val="00027308"/>
    <w:rsid w:val="000352C5"/>
    <w:rsid w:val="000833FB"/>
    <w:rsid w:val="00084412"/>
    <w:rsid w:val="000F5F85"/>
    <w:rsid w:val="0012708D"/>
    <w:rsid w:val="00187732"/>
    <w:rsid w:val="001B365C"/>
    <w:rsid w:val="001C6F88"/>
    <w:rsid w:val="001D7D7A"/>
    <w:rsid w:val="001F2745"/>
    <w:rsid w:val="00220058"/>
    <w:rsid w:val="002708F8"/>
    <w:rsid w:val="002E2945"/>
    <w:rsid w:val="002E6AE5"/>
    <w:rsid w:val="0032420D"/>
    <w:rsid w:val="00367C0C"/>
    <w:rsid w:val="00373F38"/>
    <w:rsid w:val="0037728C"/>
    <w:rsid w:val="003978C1"/>
    <w:rsid w:val="003E69A7"/>
    <w:rsid w:val="003F0221"/>
    <w:rsid w:val="00407FE5"/>
    <w:rsid w:val="00430658"/>
    <w:rsid w:val="004B468A"/>
    <w:rsid w:val="004B76AE"/>
    <w:rsid w:val="004C47D9"/>
    <w:rsid w:val="004E71D0"/>
    <w:rsid w:val="004F49EF"/>
    <w:rsid w:val="004F5A4E"/>
    <w:rsid w:val="00567F3B"/>
    <w:rsid w:val="00586EF6"/>
    <w:rsid w:val="005A170A"/>
    <w:rsid w:val="005A24E0"/>
    <w:rsid w:val="005A578F"/>
    <w:rsid w:val="006018F8"/>
    <w:rsid w:val="006154BF"/>
    <w:rsid w:val="00634574"/>
    <w:rsid w:val="00653370"/>
    <w:rsid w:val="00674DFE"/>
    <w:rsid w:val="0067535E"/>
    <w:rsid w:val="006B0D78"/>
    <w:rsid w:val="006E2061"/>
    <w:rsid w:val="006F2B9B"/>
    <w:rsid w:val="006F4C7E"/>
    <w:rsid w:val="00720A88"/>
    <w:rsid w:val="007416A0"/>
    <w:rsid w:val="00742167"/>
    <w:rsid w:val="00750BC3"/>
    <w:rsid w:val="00772DC9"/>
    <w:rsid w:val="007F5D92"/>
    <w:rsid w:val="00801C5D"/>
    <w:rsid w:val="00803E36"/>
    <w:rsid w:val="00884986"/>
    <w:rsid w:val="00884FBD"/>
    <w:rsid w:val="008A21A0"/>
    <w:rsid w:val="008A6144"/>
    <w:rsid w:val="008C278A"/>
    <w:rsid w:val="008E1A76"/>
    <w:rsid w:val="008E2D45"/>
    <w:rsid w:val="009015B0"/>
    <w:rsid w:val="00915A06"/>
    <w:rsid w:val="00926D6E"/>
    <w:rsid w:val="00985342"/>
    <w:rsid w:val="009E6A07"/>
    <w:rsid w:val="00AB5FB3"/>
    <w:rsid w:val="00B21A0F"/>
    <w:rsid w:val="00B419F4"/>
    <w:rsid w:val="00B72433"/>
    <w:rsid w:val="00B93455"/>
    <w:rsid w:val="00BC71B2"/>
    <w:rsid w:val="00BE7CD6"/>
    <w:rsid w:val="00C0039C"/>
    <w:rsid w:val="00C004FA"/>
    <w:rsid w:val="00C00D7D"/>
    <w:rsid w:val="00C04263"/>
    <w:rsid w:val="00C13225"/>
    <w:rsid w:val="00C4085B"/>
    <w:rsid w:val="00C47A05"/>
    <w:rsid w:val="00C51E07"/>
    <w:rsid w:val="00C603DA"/>
    <w:rsid w:val="00C959E0"/>
    <w:rsid w:val="00D00006"/>
    <w:rsid w:val="00D3408C"/>
    <w:rsid w:val="00D50C40"/>
    <w:rsid w:val="00D81DD7"/>
    <w:rsid w:val="00D853C1"/>
    <w:rsid w:val="00DD4DE8"/>
    <w:rsid w:val="00DE7FD7"/>
    <w:rsid w:val="00DF70B2"/>
    <w:rsid w:val="00E20DA6"/>
    <w:rsid w:val="00E27C97"/>
    <w:rsid w:val="00E44598"/>
    <w:rsid w:val="00E532A3"/>
    <w:rsid w:val="00E95318"/>
    <w:rsid w:val="00EA4648"/>
    <w:rsid w:val="00EA6639"/>
    <w:rsid w:val="00ED47D4"/>
    <w:rsid w:val="00F272D1"/>
    <w:rsid w:val="00F815CB"/>
    <w:rsid w:val="00F84254"/>
    <w:rsid w:val="00F8724D"/>
    <w:rsid w:val="00FB4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375423C-A3FA-42FC-BB53-3ADED75E3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DC9"/>
  </w:style>
  <w:style w:type="paragraph" w:styleId="Footer">
    <w:name w:val="footer"/>
    <w:basedOn w:val="Normal"/>
    <w:link w:val="FooterChar"/>
    <w:uiPriority w:val="99"/>
    <w:unhideWhenUsed/>
    <w:rsid w:val="00772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1780</Words>
  <Characters>10151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11908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2020-07-02T17:18:00Z</dcterms:created>
  <dcterms:modified xsi:type="dcterms:W3CDTF">2020-07-02T17:18:00Z</dcterms:modified>
</cp:coreProperties>
</file>